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4"/>
        <w:gridCol w:w="2128"/>
        <w:gridCol w:w="1985"/>
        <w:gridCol w:w="1559"/>
        <w:gridCol w:w="2410"/>
        <w:gridCol w:w="3543"/>
        <w:gridCol w:w="3686"/>
      </w:tblGrid>
      <w:tr w:rsidR="005350C7" w:rsidRPr="00D40B39" w:rsidTr="00820276"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0C7" w:rsidRPr="00D40B39" w:rsidRDefault="005350C7" w:rsidP="006F6CB1">
            <w:pPr>
              <w:tabs>
                <w:tab w:val="left" w:pos="140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1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50C7" w:rsidRDefault="005350C7" w:rsidP="006F6CB1">
            <w:pPr>
              <w:tabs>
                <w:tab w:val="left" w:pos="140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40B3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ЗВІТ</w:t>
            </w:r>
          </w:p>
          <w:p w:rsidR="005350C7" w:rsidRPr="00D40B39" w:rsidRDefault="00C933B7" w:rsidP="007441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про</w:t>
            </w:r>
            <w:r w:rsidR="005350C7" w:rsidRPr="00D40B3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виконання Антикорупційної програми </w:t>
            </w:r>
            <w:r w:rsidR="005350C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br/>
            </w:r>
            <w:r w:rsidR="005350C7" w:rsidRPr="00D40B3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Одеської обласної державної (військової) адміністрації на 2024-2026 роки</w:t>
            </w:r>
          </w:p>
          <w:p w:rsidR="005350C7" w:rsidRPr="00D40B39" w:rsidRDefault="005350C7" w:rsidP="006F6C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 І півріччя 2025 року</w:t>
            </w:r>
          </w:p>
          <w:p w:rsidR="005350C7" w:rsidRPr="00D40B39" w:rsidRDefault="005350C7" w:rsidP="007441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5350C7" w:rsidRPr="00716B81" w:rsidRDefault="005350C7" w:rsidP="00716B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16B8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Березівська районна державна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(військова) </w:t>
            </w:r>
            <w:r w:rsidRPr="00716B8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адміністрація Одеської області</w:t>
            </w:r>
          </w:p>
          <w:p w:rsidR="005350C7" w:rsidRPr="0074419B" w:rsidRDefault="005350C7" w:rsidP="00716B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5C2245" w:rsidRPr="0074419B" w:rsidTr="003340A9">
        <w:tc>
          <w:tcPr>
            <w:tcW w:w="424" w:type="dxa"/>
            <w:tcBorders>
              <w:top w:val="single" w:sz="4" w:space="0" w:color="auto"/>
            </w:tcBorders>
            <w:vAlign w:val="center"/>
          </w:tcPr>
          <w:p w:rsidR="005350C7" w:rsidRPr="00F0158C" w:rsidRDefault="005350C7" w:rsidP="00B051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№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vAlign w:val="center"/>
          </w:tcPr>
          <w:p w:rsidR="005350C7" w:rsidRPr="00F0158C" w:rsidRDefault="005350C7" w:rsidP="00B051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Функція, процес обласної державної (військової) адміністрації, районних державних (військових) адміністрацій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350C7" w:rsidRPr="00F0158C" w:rsidRDefault="005350C7" w:rsidP="00B051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Корупційний ризик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350C7" w:rsidRPr="0074419B" w:rsidRDefault="005350C7" w:rsidP="00B051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Термін (строк) виконання заходу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350C7" w:rsidRPr="00F0158C" w:rsidRDefault="005350C7" w:rsidP="00B051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</w:pPr>
            <w:r w:rsidRPr="007441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Відпові</w:t>
            </w:r>
            <w:r w:rsidRPr="00F015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дальні виконавці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5350C7" w:rsidRPr="00F0158C" w:rsidRDefault="005350C7" w:rsidP="00B051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Індикатори виконання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5350C7" w:rsidRPr="0074419B" w:rsidRDefault="005350C7" w:rsidP="00B051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74419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Здійснені</w:t>
            </w:r>
          </w:p>
          <w:p w:rsidR="005350C7" w:rsidRPr="0074419B" w:rsidRDefault="005350C7" w:rsidP="00B051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74419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заходи</w:t>
            </w:r>
          </w:p>
        </w:tc>
      </w:tr>
      <w:tr w:rsidR="005C2245" w:rsidRPr="00405209" w:rsidTr="003340A9">
        <w:tc>
          <w:tcPr>
            <w:tcW w:w="424" w:type="dxa"/>
          </w:tcPr>
          <w:p w:rsidR="005350C7" w:rsidRPr="0074419B" w:rsidRDefault="005350C7" w:rsidP="007441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8" w:type="dxa"/>
            <w:vAlign w:val="center"/>
          </w:tcPr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Управління інформацією. Організація роботи зі зверненнями громадян </w:t>
            </w:r>
          </w:p>
        </w:tc>
        <w:tc>
          <w:tcPr>
            <w:tcW w:w="1985" w:type="dxa"/>
            <w:vAlign w:val="center"/>
          </w:tcPr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Можливість працівника задовольнити свій приватний інтерес унаслідок відмови в реалізації права громадянина на звернення  та надання недостовірної інформації   </w:t>
            </w:r>
          </w:p>
        </w:tc>
        <w:tc>
          <w:tcPr>
            <w:tcW w:w="1559" w:type="dxa"/>
          </w:tcPr>
          <w:p w:rsidR="00820276" w:rsidRDefault="00820276" w:rsidP="008202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</w:p>
          <w:p w:rsidR="00820276" w:rsidRDefault="00820276" w:rsidP="008202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</w:p>
          <w:p w:rsidR="00820276" w:rsidRDefault="00820276" w:rsidP="0082027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</w:p>
          <w:p w:rsidR="005350C7" w:rsidRPr="00F0158C" w:rsidRDefault="00820276" w:rsidP="008202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Щорічно до 01 жовтня та під час прийняття на роботу</w:t>
            </w:r>
          </w:p>
        </w:tc>
        <w:tc>
          <w:tcPr>
            <w:tcW w:w="2410" w:type="dxa"/>
            <w:vAlign w:val="center"/>
          </w:tcPr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1-2.</w:t>
            </w: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  <w:t xml:space="preserve"> Відділ роботи із зверненнями громадян апарату обласної державної (військової) адміністрації, структурні підрозділи Одеської обласної державної (військової) адміністрації, районні державні (військові) адміністрації  </w:t>
            </w:r>
          </w:p>
        </w:tc>
        <w:tc>
          <w:tcPr>
            <w:tcW w:w="3543" w:type="dxa"/>
            <w:vAlign w:val="center"/>
          </w:tcPr>
          <w:p w:rsidR="00820276" w:rsidRDefault="005350C7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1. Навчання з питань дотримання законодавства про звернення громадян проведено.                                                </w:t>
            </w:r>
          </w:p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2. Розроблено пам'ятку про відповідальність за порушення законодавства про звернення громадян у частині неправомірної відмови в реалізації права громадянина на звернення та направлення її до структурних підрозділів облдержадміністрації  та її апарату     </w:t>
            </w:r>
          </w:p>
        </w:tc>
        <w:tc>
          <w:tcPr>
            <w:tcW w:w="3686" w:type="dxa"/>
          </w:tcPr>
          <w:p w:rsidR="005350C7" w:rsidRPr="00566CE7" w:rsidRDefault="00405209" w:rsidP="000A698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1. 27 червня 2025</w:t>
            </w:r>
            <w:r w:rsidR="005350C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року посадовими особами відділу документообігу, контролю та організаційної роботи апарату районної державної адміністрації проведено навчання з питань дотримання закон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одавства про звернення громадян (86 посадових осіб ознайомлені з навчальними матеріалами).</w:t>
            </w:r>
          </w:p>
          <w:p w:rsidR="005350C7" w:rsidRPr="0074419B" w:rsidRDefault="005350C7" w:rsidP="000A698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2. Розроблено пам'ятку про відповідальність за порушення законодавства про звернення громадян у частині неправомірної відмови в реалізації права громадянина на звернення, усіх працівників районної державної адміністрації та її апарату ознайомлено з нею під особистий підпис</w:t>
            </w:r>
            <w:r w:rsidR="0040520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та шляхом направлення електронною поштою (86 посадових осіб)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</w:tr>
      <w:tr w:rsidR="005C2245" w:rsidRPr="00C933B7" w:rsidTr="003340A9">
        <w:tc>
          <w:tcPr>
            <w:tcW w:w="424" w:type="dxa"/>
          </w:tcPr>
          <w:p w:rsidR="005350C7" w:rsidRPr="0074419B" w:rsidRDefault="005350C7" w:rsidP="007441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8" w:type="dxa"/>
            <w:vAlign w:val="center"/>
          </w:tcPr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Управління персоналом. Призначення на посади державної служби в період дії воєнного стану без проведення конкурсного добору</w:t>
            </w:r>
          </w:p>
        </w:tc>
        <w:tc>
          <w:tcPr>
            <w:tcW w:w="1985" w:type="dxa"/>
            <w:vAlign w:val="center"/>
          </w:tcPr>
          <w:p w:rsidR="005350C7" w:rsidRPr="00F0158C" w:rsidRDefault="005350C7" w:rsidP="00566C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Можливість задоволення приватного інтересу посадовими особами під час призначення працівників на посади державної служби на 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ідставі та в порядку, передбаче</w:t>
            </w: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ному </w:t>
            </w:r>
            <w:proofErr w:type="spellStart"/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ч.ч</w:t>
            </w:r>
            <w:proofErr w:type="spellEnd"/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. 5, 7 ст. 10 Закону України "Про правовий режим воєнного стану”</w:t>
            </w:r>
          </w:p>
        </w:tc>
        <w:tc>
          <w:tcPr>
            <w:tcW w:w="1559" w:type="dxa"/>
          </w:tcPr>
          <w:p w:rsidR="00820276" w:rsidRDefault="00820276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</w:p>
          <w:p w:rsidR="005350C7" w:rsidRPr="00F0158C" w:rsidRDefault="00820276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Під час  проведення відбору кандидатів для призначення на посаду</w:t>
            </w:r>
          </w:p>
        </w:tc>
        <w:tc>
          <w:tcPr>
            <w:tcW w:w="2410" w:type="dxa"/>
            <w:vAlign w:val="center"/>
          </w:tcPr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1-2.</w:t>
            </w: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  <w:t>Управління з питань персоналу апарату обласної державної (військової) адміністрації, структурні підро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зділи Одеської обласної державн</w:t>
            </w: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ої (військової)  адмін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і</w:t>
            </w: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страції, районні державні (військові) адміністрації. </w:t>
            </w:r>
          </w:p>
        </w:tc>
        <w:tc>
          <w:tcPr>
            <w:tcW w:w="3543" w:type="dxa"/>
            <w:vAlign w:val="center"/>
          </w:tcPr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Забезпечено призначення працівників на посади державної служби  в порядку, передбаченому </w:t>
            </w:r>
            <w:proofErr w:type="spellStart"/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ч.ч</w:t>
            </w:r>
            <w:proofErr w:type="spellEnd"/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. 5, 7 ст. 10 Закону України “Про правовий режим воєнного стану”.  Відповідальних працівників кадрової служби, які здійснюють прийом документів, попереджено про недопустимість порушення при перевірці таких документів та їх заповнення</w:t>
            </w:r>
          </w:p>
        </w:tc>
        <w:tc>
          <w:tcPr>
            <w:tcW w:w="3686" w:type="dxa"/>
          </w:tcPr>
          <w:p w:rsidR="005350C7" w:rsidRPr="0074419B" w:rsidRDefault="005350C7" w:rsidP="006A1D0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Забезпечено призначення працівників на посади державної служби  в порядку, передбаченому </w:t>
            </w:r>
            <w:proofErr w:type="spellStart"/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ч.ч</w:t>
            </w:r>
            <w:proofErr w:type="spellEnd"/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. 5, 7 ст. 10 Закону України “Про правовий режим воєнного стану”.  Відповідал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ьних працівників відділу з питань персоналу апарату районної державної адміністрації та відповідальних осіб структурних підрозділів районної державної адміністрації зі статусом юридичних осіб публічного права</w:t>
            </w: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, які здійснюють прийом документів, попереджено про недопустимість порушення при перевірці таких документів та їх заповнення</w:t>
            </w:r>
          </w:p>
        </w:tc>
      </w:tr>
      <w:tr w:rsidR="005C2245" w:rsidRPr="0074419B" w:rsidTr="003340A9">
        <w:tc>
          <w:tcPr>
            <w:tcW w:w="424" w:type="dxa"/>
          </w:tcPr>
          <w:p w:rsidR="005350C7" w:rsidRPr="0074419B" w:rsidRDefault="005350C7" w:rsidP="007441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8" w:type="dxa"/>
            <w:vAlign w:val="center"/>
          </w:tcPr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Управління персоналом. Нагородження державними нагородами України та урядовими відзнаками </w:t>
            </w:r>
          </w:p>
        </w:tc>
        <w:tc>
          <w:tcPr>
            <w:tcW w:w="1985" w:type="dxa"/>
            <w:vAlign w:val="center"/>
          </w:tcPr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Можливість голови/членів комісії з питань нагороджень Одеської обласної державної  адміністрації, які приймають рішення про нагородження, діяти </w:t>
            </w:r>
            <w:proofErr w:type="spellStart"/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недоброчесно</w:t>
            </w:r>
            <w:proofErr w:type="spellEnd"/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через наявність приватного інтересу   </w:t>
            </w:r>
          </w:p>
        </w:tc>
        <w:tc>
          <w:tcPr>
            <w:tcW w:w="1559" w:type="dxa"/>
          </w:tcPr>
          <w:p w:rsidR="005350C7" w:rsidRDefault="005350C7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</w:p>
          <w:p w:rsidR="00820276" w:rsidRPr="00F0158C" w:rsidRDefault="00820276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Під час засідань комісії</w:t>
            </w:r>
          </w:p>
        </w:tc>
        <w:tc>
          <w:tcPr>
            <w:tcW w:w="2410" w:type="dxa"/>
            <w:vAlign w:val="center"/>
          </w:tcPr>
          <w:p w:rsidR="005350C7" w:rsidRDefault="005350C7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1-2.</w:t>
            </w:r>
          </w:p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 w:type="page"/>
              <w:t>Голова та члени комісії з питань нагороджень Одеської обласної державної (військової) адміністрації, районні державні (військові) адміністрації</w:t>
            </w:r>
          </w:p>
        </w:tc>
        <w:tc>
          <w:tcPr>
            <w:tcW w:w="3543" w:type="dxa"/>
            <w:vAlign w:val="center"/>
          </w:tcPr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1. Членів комісії ознайомлено з </w:t>
            </w:r>
            <w:proofErr w:type="spellStart"/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інфографікою</w:t>
            </w:r>
            <w:proofErr w:type="spellEnd"/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щодо врегулювання конфлікту інтересів, розміщеною на офіційному </w:t>
            </w:r>
            <w:proofErr w:type="spellStart"/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вебсайті</w:t>
            </w:r>
            <w:proofErr w:type="spellEnd"/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Одеської обласної державної (військової) адміністрації.                                                        2. Протоколи засідань комісії складено з документуванням процесу ознайомлення про заборону брати участь у прийнятті рішення в умовах конфлікту інтересів   </w:t>
            </w:r>
          </w:p>
        </w:tc>
        <w:tc>
          <w:tcPr>
            <w:tcW w:w="3686" w:type="dxa"/>
          </w:tcPr>
          <w:p w:rsidR="005350C7" w:rsidRPr="00804795" w:rsidRDefault="005350C7" w:rsidP="006A1D0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 районній державній адміністрації не створена та не здійснює свою діяльність комісія з питань нагороджень</w:t>
            </w:r>
          </w:p>
        </w:tc>
      </w:tr>
      <w:tr w:rsidR="005C2245" w:rsidRPr="007F68FE" w:rsidTr="003340A9">
        <w:tc>
          <w:tcPr>
            <w:tcW w:w="424" w:type="dxa"/>
          </w:tcPr>
          <w:p w:rsidR="005350C7" w:rsidRPr="0074419B" w:rsidRDefault="005350C7" w:rsidP="007441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8" w:type="dxa"/>
            <w:vAlign w:val="center"/>
          </w:tcPr>
          <w:p w:rsidR="005350C7" w:rsidRPr="00F0158C" w:rsidRDefault="005350C7" w:rsidP="00566C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Управління документо</w:t>
            </w: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обігом. Облік, зберігання, використання і знищення документів та інших                                                                        матеріальних носіїв інформації, що містять службову інформацію</w:t>
            </w:r>
          </w:p>
        </w:tc>
        <w:tc>
          <w:tcPr>
            <w:tcW w:w="1985" w:type="dxa"/>
            <w:vAlign w:val="center"/>
          </w:tcPr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Можливість отримання неправомірної вигоди за розголошення інформації, що міститься в документах, призначених для службового користування </w:t>
            </w:r>
          </w:p>
        </w:tc>
        <w:tc>
          <w:tcPr>
            <w:tcW w:w="1559" w:type="dxa"/>
          </w:tcPr>
          <w:p w:rsidR="00E357AB" w:rsidRDefault="00E357AB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Щопівроку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після оновлення спис</w:t>
            </w:r>
            <w:r w:rsidR="00085A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у працівників, яким доручено опрацювання документів.</w:t>
            </w:r>
          </w:p>
          <w:p w:rsidR="005350C7" w:rsidRPr="00F0158C" w:rsidRDefault="00E357AB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2. У разі наявності випадків </w:t>
            </w:r>
            <w:proofErr w:type="spellStart"/>
            <w:r w:rsidR="00C23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доброчесної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поведінки працівників. </w:t>
            </w:r>
          </w:p>
        </w:tc>
        <w:tc>
          <w:tcPr>
            <w:tcW w:w="2410" w:type="dxa"/>
            <w:vAlign w:val="center"/>
          </w:tcPr>
          <w:p w:rsidR="005350C7" w:rsidRDefault="005350C7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1-2. </w:t>
            </w:r>
          </w:p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Управління діловодства та контролю  апарату обласної державної (військової) адміністрації, структурні  підрозділи Одеської обласної державної (військової) адміністрації, районні державні (військові) адміністрації</w:t>
            </w:r>
          </w:p>
        </w:tc>
        <w:tc>
          <w:tcPr>
            <w:tcW w:w="3543" w:type="dxa"/>
            <w:vAlign w:val="center"/>
          </w:tcPr>
          <w:p w:rsidR="005350C7" w:rsidRDefault="005350C7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1. Працівників, яким доручено опрацювання документів, попереджено про відповідальність.         </w:t>
            </w:r>
          </w:p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2. Про випадки  </w:t>
            </w:r>
            <w:proofErr w:type="spellStart"/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недоброчесної</w:t>
            </w:r>
            <w:proofErr w:type="spellEnd"/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поведінки проінформовано керівництво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.</w:t>
            </w:r>
          </w:p>
        </w:tc>
        <w:tc>
          <w:tcPr>
            <w:tcW w:w="3686" w:type="dxa"/>
          </w:tcPr>
          <w:p w:rsidR="005350C7" w:rsidRDefault="005350C7" w:rsidP="007F68F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F68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1. </w:t>
            </w:r>
            <w:r w:rsidR="00085AE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 червня 2025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року відділом документообігу, контролю та організаційної роботи апарату районної держ</w:t>
            </w:r>
            <w:r w:rsidR="00085AE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авної адміністрації ознайомлено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працівників</w:t>
            </w:r>
            <w:r w:rsidRPr="007F68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апарату, стру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ктурних підрозділів</w:t>
            </w:r>
            <w:r w:rsidRPr="007F68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районної державно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ї адміністрації </w:t>
            </w:r>
            <w:r w:rsidR="00085AE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 пам'ят</w:t>
            </w:r>
            <w:r w:rsidR="006A1D0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</w:t>
            </w:r>
            <w:r w:rsidR="00085AE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ою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7F68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персональну відповідальність за розголошення інформації, що стала відома особі у зв'язку з виконанням службових обов'язків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  <w:p w:rsidR="005350C7" w:rsidRPr="007F68FE" w:rsidRDefault="005350C7" w:rsidP="007F68F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2. Випадки недоброчесної поведінки станом на звітну дату відсутні.</w:t>
            </w:r>
          </w:p>
        </w:tc>
      </w:tr>
      <w:tr w:rsidR="005C2245" w:rsidRPr="006A1D01" w:rsidTr="003340A9">
        <w:tc>
          <w:tcPr>
            <w:tcW w:w="424" w:type="dxa"/>
          </w:tcPr>
          <w:p w:rsidR="005350C7" w:rsidRPr="0074419B" w:rsidRDefault="005350C7" w:rsidP="007441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8" w:type="dxa"/>
            <w:vAlign w:val="center"/>
          </w:tcPr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Запобігання та виявлення корупції. Організація та здійснення заходів із запобігання та виявлення корупції</w:t>
            </w:r>
          </w:p>
        </w:tc>
        <w:tc>
          <w:tcPr>
            <w:tcW w:w="1985" w:type="dxa"/>
            <w:vAlign w:val="center"/>
          </w:tcPr>
          <w:p w:rsidR="005350C7" w:rsidRPr="00F0158C" w:rsidRDefault="005350C7" w:rsidP="00566C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Ймовірність внесення завідомо недостовірних відомостей у декларації особи, уповноваженої на виконання функцій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держави або місцевого самовря</w:t>
            </w: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дування</w:t>
            </w:r>
          </w:p>
        </w:tc>
        <w:tc>
          <w:tcPr>
            <w:tcW w:w="1559" w:type="dxa"/>
          </w:tcPr>
          <w:p w:rsidR="005350C7" w:rsidRDefault="00C23FAA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Під час проведення кампанії декларування та у разі змін в законодавстві, оновленні роз’яснень, матеріалів, сервісів та інструментів.</w:t>
            </w:r>
          </w:p>
          <w:p w:rsidR="00C23FAA" w:rsidRPr="00F0158C" w:rsidRDefault="00C23FAA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10" w:type="dxa"/>
            <w:vAlign w:val="center"/>
          </w:tcPr>
          <w:p w:rsidR="005350C7" w:rsidRDefault="005350C7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1-2. </w:t>
            </w:r>
          </w:p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Відділ з питань запобігання та виявлення корупції Одеської  обласної державної (військової) адміністрації, уповноважені особи з питань запобігання та виявлення корупції районних державних (військових) адміністрацій.</w:t>
            </w:r>
          </w:p>
        </w:tc>
        <w:tc>
          <w:tcPr>
            <w:tcW w:w="3543" w:type="dxa"/>
            <w:vAlign w:val="center"/>
          </w:tcPr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1. У разі змін в законодавстві, оновленні роз'яснень, матеріалів, сервісів та інструментів їх викладено  на офіційному </w:t>
            </w:r>
            <w:proofErr w:type="spellStart"/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вебсайті</w:t>
            </w:r>
            <w:proofErr w:type="spellEnd"/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Одеської  обласної державної (військової) адміністрації, оглядові листи направлено.                                                                       2. Інформаційні матеріали щодо відповідальності за внесення завідомо недостовірних відомостей у декларацію доведено суб'єктам декларування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.</w:t>
            </w:r>
          </w:p>
        </w:tc>
        <w:tc>
          <w:tcPr>
            <w:tcW w:w="3686" w:type="dxa"/>
          </w:tcPr>
          <w:p w:rsidR="005350C7" w:rsidRDefault="005350C7" w:rsidP="0073428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1. </w:t>
            </w:r>
            <w:r w:rsidRPr="0073428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Забезпечено оновлення розділу «Запобігання корупції» офіційного сайту районної державної адміністрації з метою реалізації нововведень та змін до діючого антикорупційного законодавства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 У разі прийняття відповідних змін та нововведень до антикорупційного законодавства підпорядкованим структурним підрозділам та установам листи направлено.</w:t>
            </w:r>
          </w:p>
          <w:p w:rsidR="005350C7" w:rsidRDefault="005350C7" w:rsidP="007342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2.</w:t>
            </w:r>
            <w:r w:rsidR="006A1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У січні, лютому та березні 2025 року проведено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навчання з посадовими особами щодо декларування. </w:t>
            </w:r>
          </w:p>
          <w:p w:rsidR="006A1D01" w:rsidRPr="00734283" w:rsidRDefault="006A1D01" w:rsidP="0073428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У березні 2025 року </w:t>
            </w: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доведено суб'єктам декларування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методичні матеріали щодо фінансового контролю та моніторингу, наголошено на відповідальності за порушення вимог фінансового контролю.</w:t>
            </w:r>
          </w:p>
        </w:tc>
      </w:tr>
      <w:tr w:rsidR="005C2245" w:rsidRPr="006A1D01" w:rsidTr="003340A9">
        <w:tc>
          <w:tcPr>
            <w:tcW w:w="424" w:type="dxa"/>
          </w:tcPr>
          <w:p w:rsidR="005350C7" w:rsidRPr="0074419B" w:rsidRDefault="005350C7" w:rsidP="007441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8" w:type="dxa"/>
            <w:vAlign w:val="center"/>
          </w:tcPr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Запобігання та виявлення корупції. Організація та здійснення заходів із запобігання та виявлення корупції</w:t>
            </w:r>
          </w:p>
        </w:tc>
        <w:tc>
          <w:tcPr>
            <w:tcW w:w="1985" w:type="dxa"/>
            <w:vAlign w:val="center"/>
          </w:tcPr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ожливість включення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корупціоген</w:t>
            </w: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них</w:t>
            </w:r>
            <w:proofErr w:type="spellEnd"/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факторів до проєктів розпорядчих актів  Одеської  обласної державної (військової) адміністрації для задоволення посадовою особою приватного інтересу </w:t>
            </w:r>
          </w:p>
        </w:tc>
        <w:tc>
          <w:tcPr>
            <w:tcW w:w="1559" w:type="dxa"/>
          </w:tcPr>
          <w:p w:rsidR="005C2245" w:rsidRDefault="005C2245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</w:p>
          <w:p w:rsidR="005C2245" w:rsidRDefault="005C2245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</w:p>
          <w:p w:rsidR="005350C7" w:rsidRPr="00F0158C" w:rsidRDefault="005C2245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У разі виявлення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проєкті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акта норм, які містять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корупціогенні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фактори та/або не відповідають антикорупційному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законодпвству</w:t>
            </w:r>
            <w:proofErr w:type="spellEnd"/>
          </w:p>
        </w:tc>
        <w:tc>
          <w:tcPr>
            <w:tcW w:w="2410" w:type="dxa"/>
            <w:vAlign w:val="center"/>
          </w:tcPr>
          <w:p w:rsidR="005350C7" w:rsidRDefault="005350C7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1-2. </w:t>
            </w:r>
          </w:p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Відділ з питань запобігання та виявлення корупції Одеської обласної державної (військової) адміністрації, уповноважені особи з питань запобігання та виявлення корупції районних державних (військових) адміністрацій.</w:t>
            </w:r>
          </w:p>
        </w:tc>
        <w:tc>
          <w:tcPr>
            <w:tcW w:w="3543" w:type="dxa"/>
            <w:vAlign w:val="center"/>
          </w:tcPr>
          <w:p w:rsidR="005350C7" w:rsidRDefault="005350C7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1. Чек-лист типових ознак </w:t>
            </w:r>
            <w:proofErr w:type="spellStart"/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корупціогенних</w:t>
            </w:r>
            <w:proofErr w:type="spellEnd"/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факторів в </w:t>
            </w:r>
            <w:proofErr w:type="spellStart"/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проєктах</w:t>
            </w:r>
            <w:proofErr w:type="spellEnd"/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розпорядчих актів  Одеської обласної державної (військової) адміністрації  розроблено.                                    </w:t>
            </w:r>
          </w:p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2. Зауваження та пропозиції щодо усунення норм, які містять </w:t>
            </w:r>
            <w:proofErr w:type="spellStart"/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корупціогенні</w:t>
            </w:r>
            <w:proofErr w:type="spellEnd"/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фактори та/або не відповідають антикорупційному законодавству, в </w:t>
            </w:r>
            <w:proofErr w:type="spellStart"/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проєктах</w:t>
            </w:r>
            <w:proofErr w:type="spellEnd"/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розпорядчих актів  Одеської обласної державної (військової) адміністрації  надано в письмовій формі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.</w:t>
            </w:r>
          </w:p>
        </w:tc>
        <w:tc>
          <w:tcPr>
            <w:tcW w:w="3686" w:type="dxa"/>
          </w:tcPr>
          <w:p w:rsidR="005350C7" w:rsidRDefault="005350C7" w:rsidP="007342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73428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1. </w:t>
            </w: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Чек-лист типових ознак </w:t>
            </w:r>
            <w:proofErr w:type="spellStart"/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корупціогенних</w:t>
            </w:r>
            <w:proofErr w:type="spellEnd"/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факторів в </w:t>
            </w:r>
            <w:proofErr w:type="spellStart"/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проєктах</w:t>
            </w:r>
            <w:proofErr w:type="spellEnd"/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розп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орядчих актів Березівської районної</w:t>
            </w: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держав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ної (військової) адміністрації </w:t>
            </w: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розроблено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та розміщено на офіційному сайті районної державної адміністрації </w:t>
            </w:r>
            <w:hyperlink r:id="rId8" w:history="1">
              <w:r w:rsidRPr="00D438D5">
                <w:rPr>
                  <w:rStyle w:val="a7"/>
                  <w:rFonts w:ascii="Times New Roman" w:eastAsia="Times New Roman" w:hAnsi="Times New Roman" w:cs="Times New Roman"/>
                  <w:sz w:val="16"/>
                  <w:szCs w:val="16"/>
                  <w:lang w:val="uk-UA" w:eastAsia="ru-RU"/>
                </w:rPr>
                <w:t>https://berezivka-rda.od.gov.ua/zapobigannya-korupcziyi/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. </w:t>
            </w:r>
          </w:p>
          <w:p w:rsidR="005350C7" w:rsidRPr="00734283" w:rsidRDefault="005350C7" w:rsidP="0073428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2. Уповноваженою особою з питань запобігання та виявлення корупції здійснюється перевірка</w:t>
            </w: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проєктів</w:t>
            </w: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розп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орядчих актів Березівської районної</w:t>
            </w: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державної (військової) адміністрації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щодо наявності</w:t>
            </w: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норм, які містять </w:t>
            </w:r>
            <w:proofErr w:type="spellStart"/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корупціогенні</w:t>
            </w:r>
            <w:proofErr w:type="spellEnd"/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фактори та/або не відповідають антикорупційном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у законодавству.</w:t>
            </w:r>
            <w:r w:rsidR="008E7C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За звітний період завізовано 152 розпорядження голови (начальника) РДА та 115 наказів керівника апарату РДА, зауваження відсутні.</w:t>
            </w:r>
          </w:p>
        </w:tc>
      </w:tr>
      <w:tr w:rsidR="005C2245" w:rsidRPr="00C933B7" w:rsidTr="003340A9">
        <w:tc>
          <w:tcPr>
            <w:tcW w:w="424" w:type="dxa"/>
          </w:tcPr>
          <w:p w:rsidR="005350C7" w:rsidRPr="0074419B" w:rsidRDefault="005350C7" w:rsidP="007441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8" w:type="dxa"/>
            <w:vAlign w:val="center"/>
          </w:tcPr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Запобігання та виявлення корупції. Здійснення повноважень у сфері захисту викривачів </w:t>
            </w:r>
          </w:p>
        </w:tc>
        <w:tc>
          <w:tcPr>
            <w:tcW w:w="1985" w:type="dxa"/>
            <w:vAlign w:val="center"/>
          </w:tcPr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Можливість розголошення інформації про особу викривача, його близьких осіб під час процедури прийняття, розгляду та </w:t>
            </w: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lastRenderedPageBreak/>
              <w:t xml:space="preserve">перевірки повідомлень про корупцію </w:t>
            </w:r>
          </w:p>
        </w:tc>
        <w:tc>
          <w:tcPr>
            <w:tcW w:w="1559" w:type="dxa"/>
          </w:tcPr>
          <w:p w:rsidR="005350C7" w:rsidRDefault="005350C7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</w:p>
          <w:p w:rsidR="00250762" w:rsidRDefault="00250762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</w:p>
          <w:p w:rsidR="00250762" w:rsidRPr="00F0158C" w:rsidRDefault="00250762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10" w:type="dxa"/>
            <w:vAlign w:val="center"/>
          </w:tcPr>
          <w:p w:rsidR="005350C7" w:rsidRDefault="005350C7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1-2. </w:t>
            </w:r>
          </w:p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Відділ з питань запобігання та виявлення корупції Одеської обласної державної (військової) адміністрації, уповноважені особи з питань запобігання та </w:t>
            </w: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lastRenderedPageBreak/>
              <w:t>виявлення корупції районних державних (військових) адміністрацій.</w:t>
            </w:r>
          </w:p>
        </w:tc>
        <w:tc>
          <w:tcPr>
            <w:tcW w:w="3543" w:type="dxa"/>
            <w:vAlign w:val="center"/>
          </w:tcPr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lastRenderedPageBreak/>
              <w:t xml:space="preserve">1. Пам'ятку щодо правового статусу, прав та гарантій захисту викривача розміщено на офіційному </w:t>
            </w:r>
            <w:proofErr w:type="spellStart"/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вебсайті</w:t>
            </w:r>
            <w:proofErr w:type="spellEnd"/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Одеської обласної державної (військової) адміністрації.                                                 2. Інформація про відповідальність за розголошення інформації про викривача, його </w:t>
            </w: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lastRenderedPageBreak/>
              <w:t xml:space="preserve">близьких осіб розміщена на офіційному </w:t>
            </w:r>
            <w:proofErr w:type="spellStart"/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вебсайті</w:t>
            </w:r>
            <w:proofErr w:type="spellEnd"/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Одеської обласної державної (військової) адміністрації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.</w:t>
            </w:r>
          </w:p>
        </w:tc>
        <w:tc>
          <w:tcPr>
            <w:tcW w:w="3686" w:type="dxa"/>
          </w:tcPr>
          <w:p w:rsidR="005350C7" w:rsidRDefault="005350C7" w:rsidP="00B879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73428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 xml:space="preserve">1. </w:t>
            </w: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Пам'ятку щодо правового статусу, прав та гарантій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захисту викривача </w:t>
            </w: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розроблено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та розміщено на офіційному сайті районної державної адміністрації </w:t>
            </w:r>
            <w:hyperlink r:id="rId9" w:history="1">
              <w:r w:rsidRPr="00D438D5">
                <w:rPr>
                  <w:rStyle w:val="a7"/>
                  <w:rFonts w:ascii="Times New Roman" w:eastAsia="Times New Roman" w:hAnsi="Times New Roman" w:cs="Times New Roman"/>
                  <w:sz w:val="16"/>
                  <w:szCs w:val="16"/>
                  <w:lang w:val="uk-UA" w:eastAsia="ru-RU"/>
                </w:rPr>
                <w:t>https://berezivka-rda.od.gov.ua/zapobigannya-korupcziyi/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. </w:t>
            </w:r>
          </w:p>
          <w:p w:rsidR="005350C7" w:rsidRPr="00B87920" w:rsidRDefault="005350C7" w:rsidP="00B8792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8792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2. </w:t>
            </w: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Інформація про відповідальність за </w:t>
            </w: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lastRenderedPageBreak/>
              <w:t xml:space="preserve">розголошення інформації про викривача, його близьких осіб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розроблена та </w:t>
            </w: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розміщена на офіційному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сайті районної державної адміністрації </w:t>
            </w:r>
            <w:hyperlink r:id="rId10" w:history="1">
              <w:r w:rsidRPr="00D438D5">
                <w:rPr>
                  <w:rStyle w:val="a7"/>
                  <w:rFonts w:ascii="Times New Roman" w:eastAsia="Times New Roman" w:hAnsi="Times New Roman" w:cs="Times New Roman"/>
                  <w:sz w:val="16"/>
                  <w:szCs w:val="16"/>
                  <w:lang w:val="uk-UA" w:eastAsia="ru-RU"/>
                </w:rPr>
                <w:t>https://berezivka-rda.od.gov.ua/zapobigannya-korupcziyi/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.</w:t>
            </w:r>
          </w:p>
        </w:tc>
      </w:tr>
      <w:tr w:rsidR="005C2245" w:rsidRPr="00C933B7" w:rsidTr="003340A9">
        <w:tc>
          <w:tcPr>
            <w:tcW w:w="424" w:type="dxa"/>
          </w:tcPr>
          <w:p w:rsidR="005350C7" w:rsidRPr="0074419B" w:rsidRDefault="005350C7" w:rsidP="007441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8" w:type="dxa"/>
            <w:vAlign w:val="center"/>
          </w:tcPr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Проведення закупівель</w:t>
            </w:r>
          </w:p>
        </w:tc>
        <w:tc>
          <w:tcPr>
            <w:tcW w:w="1985" w:type="dxa"/>
            <w:vAlign w:val="center"/>
          </w:tcPr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Можливість фаворитизму при</w:t>
            </w: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br w:type="page"/>
              <w:t>укладенні прямих</w:t>
            </w: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br w:type="page"/>
              <w:t>дог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оворів з конкретним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br w:type="page"/>
              <w:t>постачальни</w:t>
            </w: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ком</w:t>
            </w:r>
          </w:p>
        </w:tc>
        <w:tc>
          <w:tcPr>
            <w:tcW w:w="1559" w:type="dxa"/>
          </w:tcPr>
          <w:p w:rsidR="005350C7" w:rsidRDefault="005350C7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</w:p>
          <w:p w:rsidR="00250762" w:rsidRDefault="00250762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</w:p>
          <w:p w:rsidR="00250762" w:rsidRDefault="00250762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</w:p>
          <w:p w:rsidR="00250762" w:rsidRDefault="00250762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1. Під час закупівлі. </w:t>
            </w:r>
          </w:p>
          <w:p w:rsidR="00250762" w:rsidRPr="00F0158C" w:rsidRDefault="00250762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2. Щорічно до 31 грудня</w:t>
            </w:r>
          </w:p>
        </w:tc>
        <w:tc>
          <w:tcPr>
            <w:tcW w:w="2410" w:type="dxa"/>
            <w:vAlign w:val="center"/>
          </w:tcPr>
          <w:p w:rsidR="005350C7" w:rsidRDefault="005350C7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1-2. </w:t>
            </w:r>
          </w:p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Структурні підрозділи Одеської обласної державної (військової) адміністрації, відділ господарського забезпечення  апарату Одеської обласної державної (військової) адміністрації, районні державні (військові) адміністрації      </w:t>
            </w:r>
          </w:p>
        </w:tc>
        <w:tc>
          <w:tcPr>
            <w:tcW w:w="3543" w:type="dxa"/>
            <w:vAlign w:val="center"/>
          </w:tcPr>
          <w:p w:rsidR="005350C7" w:rsidRPr="00F0158C" w:rsidRDefault="005350C7" w:rsidP="00566C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1. Моніторинг ринкових цін  та аналіз конт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р</w:t>
            </w: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агентів відображений в протоколі прийняття рішення уповно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ва</w:t>
            </w: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жено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ю</w:t>
            </w: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особою під час закупівлі. </w:t>
            </w: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br w:type="page"/>
              <w:t xml:space="preserve">2. Уповноважені особи ознайомлені під підпис з обмеженнями, передбаченими розділом ІV Закону України "Про запобігання корупції"   </w:t>
            </w:r>
          </w:p>
        </w:tc>
        <w:tc>
          <w:tcPr>
            <w:tcW w:w="3686" w:type="dxa"/>
          </w:tcPr>
          <w:p w:rsidR="005350C7" w:rsidRDefault="005350C7" w:rsidP="003B623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1. </w:t>
            </w:r>
            <w:r w:rsidRPr="003B623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Всі закупівлі проводяться згідно вимог чинного законодавства України про закупівлі.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3B623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Уповноваженим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и особами проводиться аналіз ці</w:t>
            </w:r>
            <w:r w:rsidRPr="003B623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нових пропозицій. Інформація про закупівлі оприлюднюється у встановленому законодавством порядку (</w:t>
            </w:r>
            <w:hyperlink r:id="rId11" w:history="1">
              <w:r w:rsidRPr="003B5CD0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uk-UA"/>
                </w:rPr>
                <w:t>http://surl.li/iabdr</w:t>
              </w:r>
            </w:hyperlink>
            <w:r w:rsidRPr="003B623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).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За звітний період проводилися закупівлі без використання електронної системи.</w:t>
            </w:r>
          </w:p>
          <w:p w:rsidR="005350C7" w:rsidRPr="003B623A" w:rsidRDefault="005350C7" w:rsidP="003B623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2. </w:t>
            </w:r>
            <w:r w:rsidRPr="003B623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Всі посадові особи районної державної адміністрації попереджені про відповідальність за порушення вимог антикорупційного законодавства, у тому числі уповноважені особи з питань закупівель (відомості щодо ознайомлення зберігаються в особових справах таких посадових осіб – попередження від 01.07.2021 та від 15.03.2021 та ін.).</w:t>
            </w:r>
          </w:p>
        </w:tc>
      </w:tr>
      <w:tr w:rsidR="005C2245" w:rsidRPr="00C933B7" w:rsidTr="003340A9">
        <w:tc>
          <w:tcPr>
            <w:tcW w:w="424" w:type="dxa"/>
          </w:tcPr>
          <w:p w:rsidR="005350C7" w:rsidRPr="0074419B" w:rsidRDefault="005350C7" w:rsidP="007441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8" w:type="dxa"/>
            <w:vAlign w:val="center"/>
          </w:tcPr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Управління  бюджетними коштами.  Планування та використання фінансових ресурсів обласного  бюджету </w:t>
            </w:r>
          </w:p>
        </w:tc>
        <w:tc>
          <w:tcPr>
            <w:tcW w:w="1985" w:type="dxa"/>
            <w:vAlign w:val="center"/>
          </w:tcPr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Можливість задовольнити приватний інтерес в процесі управління бюджетними коштами через порушення бюджетного законодавства при плануванні та використанні фінансових ресурсів обласного  бюджету </w:t>
            </w:r>
          </w:p>
        </w:tc>
        <w:tc>
          <w:tcPr>
            <w:tcW w:w="1559" w:type="dxa"/>
          </w:tcPr>
          <w:p w:rsidR="003340A9" w:rsidRDefault="003340A9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</w:p>
          <w:p w:rsidR="003340A9" w:rsidRDefault="003340A9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</w:p>
          <w:p w:rsidR="003340A9" w:rsidRDefault="003340A9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</w:p>
          <w:p w:rsidR="003340A9" w:rsidRDefault="003340A9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</w:p>
          <w:p w:rsidR="003340A9" w:rsidRDefault="003340A9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</w:p>
          <w:p w:rsidR="003340A9" w:rsidRDefault="003340A9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3340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1. Січень </w:t>
            </w:r>
            <w:proofErr w:type="spellStart"/>
            <w:r w:rsidRPr="003340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-березень</w:t>
            </w:r>
            <w:proofErr w:type="spellEnd"/>
            <w:r w:rsidRPr="003340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2024 - 2026 років стосовно складання заходів, постійно щодо координації. </w:t>
            </w:r>
          </w:p>
          <w:p w:rsidR="003340A9" w:rsidRDefault="003340A9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3340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2. Постійно . </w:t>
            </w:r>
          </w:p>
          <w:p w:rsidR="005350C7" w:rsidRPr="00F0158C" w:rsidRDefault="003340A9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3340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3. Під час проведення навчальних заходів</w:t>
            </w:r>
          </w:p>
        </w:tc>
        <w:tc>
          <w:tcPr>
            <w:tcW w:w="2410" w:type="dxa"/>
            <w:vAlign w:val="center"/>
          </w:tcPr>
          <w:p w:rsidR="005350C7" w:rsidRDefault="005350C7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1-2-3. </w:t>
            </w:r>
          </w:p>
          <w:p w:rsidR="005350C7" w:rsidRDefault="005350C7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Департамент фінансів  Одеської обласно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ї</w:t>
            </w: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державної (військової) адміністрації, головні розпорядники коштів обласного бюджету - структурні підрозділи  Одеської обласної державної (військової) адміністрації.               </w:t>
            </w:r>
          </w:p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3. Районні державні (військові) адміністрації </w:t>
            </w:r>
          </w:p>
        </w:tc>
        <w:tc>
          <w:tcPr>
            <w:tcW w:w="3543" w:type="dxa"/>
            <w:vAlign w:val="center"/>
          </w:tcPr>
          <w:p w:rsidR="003340A9" w:rsidRDefault="005350C7" w:rsidP="003340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1. План заходів щодо наповнення місцевих бюджетів, ефективного використання бюджетних коштів та посилення фінансово-бюджетної дисципліни розроблено та затверджено розпорядженням начальника  Одеської обласної державної (військової) адміністрації.  Складено звіти про виконання цих заходів.</w:t>
            </w:r>
          </w:p>
          <w:p w:rsidR="005350C7" w:rsidRPr="00F0158C" w:rsidRDefault="005350C7" w:rsidP="003340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2. Підготовлено інформацію: про перевірку кошторисів і планів використання коштів, підготовлено та схвалення </w:t>
            </w:r>
            <w:proofErr w:type="spellStart"/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проєкту</w:t>
            </w:r>
            <w:proofErr w:type="spellEnd"/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обласного бюджету, паспорти бюджетних програм затверджені головними розпорядниками бюджетних коштів та подані до органів Казначейства.                                                                                          3. Проведено навчальні заходи з підвищення рівня професійності та відповідальності посадових осіб, причетних до управління бюджетними коштами.</w:t>
            </w:r>
          </w:p>
        </w:tc>
        <w:tc>
          <w:tcPr>
            <w:tcW w:w="3686" w:type="dxa"/>
          </w:tcPr>
          <w:p w:rsidR="005350C7" w:rsidRDefault="00FF20E1" w:rsidP="00BC721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1-2. </w:t>
            </w:r>
            <w:r w:rsidR="005350C7" w:rsidRPr="00BE785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Розпорядженням голови (начальника) Березівської районної державної (військової)  адміністрації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від 19.12.2024 № 234/А-2024 </w:t>
            </w:r>
            <w:r w:rsidR="005350C7" w:rsidRPr="00BE785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зат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верджено районний бюджет на 2025</w:t>
            </w:r>
            <w:r w:rsidR="005350C7" w:rsidRPr="00BE785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рік, на підставі с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кладено та перевірено кошторис 3 головних розпорядників</w:t>
            </w:r>
            <w:r w:rsidR="005350C7" w:rsidRPr="00BE785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бюджетних коштів. У визначений законодавством термін затверджено паспорт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и бюджетних програм</w:t>
            </w:r>
            <w:r w:rsidR="005350C7" w:rsidRPr="00BE785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та вчасно подано до органу Казначейства.</w:t>
            </w:r>
          </w:p>
          <w:p w:rsidR="00FF20E1" w:rsidRPr="00BE7855" w:rsidRDefault="00FF20E1" w:rsidP="00BC721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2. </w:t>
            </w:r>
            <w:r w:rsidR="00CF080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 січня 2025 року відповідальні посадові особи пройшли професійне навчання за програмою «Управління публічними фінансами» в Донбаському інституті техніки та менеджменту ЗВО «Міжнародний науково-технічний університет імені академіка Юрія Бугая».</w:t>
            </w:r>
          </w:p>
        </w:tc>
      </w:tr>
      <w:tr w:rsidR="005C2245" w:rsidRPr="00C933B7" w:rsidTr="003340A9">
        <w:tc>
          <w:tcPr>
            <w:tcW w:w="424" w:type="dxa"/>
          </w:tcPr>
          <w:p w:rsidR="005350C7" w:rsidRPr="0074419B" w:rsidRDefault="005350C7" w:rsidP="007441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8" w:type="dxa"/>
            <w:vAlign w:val="center"/>
          </w:tcPr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У сфері соціального забезпечення і захисту населення. Проблемні питання соціального захисту ветеранів та їх родин</w:t>
            </w:r>
          </w:p>
        </w:tc>
        <w:tc>
          <w:tcPr>
            <w:tcW w:w="1985" w:type="dxa"/>
            <w:vAlign w:val="center"/>
          </w:tcPr>
          <w:p w:rsidR="005350C7" w:rsidRPr="00F0158C" w:rsidRDefault="005350C7" w:rsidP="00566C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Ймовірна </w:t>
            </w:r>
            <w:proofErr w:type="spellStart"/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недоброчесність</w:t>
            </w:r>
            <w:proofErr w:type="spellEnd"/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посадових осіб та/або зловживання посадовою особою служб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овими обов’язками при нарахуван</w:t>
            </w: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ні ветеранам війни щорічної грошової допомоги</w:t>
            </w:r>
          </w:p>
        </w:tc>
        <w:tc>
          <w:tcPr>
            <w:tcW w:w="1559" w:type="dxa"/>
          </w:tcPr>
          <w:p w:rsidR="006B32F7" w:rsidRDefault="006B32F7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</w:p>
          <w:p w:rsidR="006B32F7" w:rsidRDefault="006B32F7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</w:p>
          <w:p w:rsidR="006B32F7" w:rsidRDefault="006B32F7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</w:p>
          <w:p w:rsidR="006B32F7" w:rsidRDefault="006B32F7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</w:p>
          <w:p w:rsidR="005350C7" w:rsidRPr="00F0158C" w:rsidRDefault="006B32F7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Постійно</w:t>
            </w:r>
          </w:p>
        </w:tc>
        <w:tc>
          <w:tcPr>
            <w:tcW w:w="2410" w:type="dxa"/>
            <w:vAlign w:val="center"/>
          </w:tcPr>
          <w:p w:rsidR="005350C7" w:rsidRDefault="005350C7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1-2.</w:t>
            </w: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</w:p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Департамент соціальної та сімейної політики Одеської обласної державної (військової) адміністрації,  районні державні (військові) адміністрації.</w:t>
            </w:r>
          </w:p>
        </w:tc>
        <w:tc>
          <w:tcPr>
            <w:tcW w:w="3543" w:type="dxa"/>
            <w:vAlign w:val="center"/>
          </w:tcPr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На офіційному </w:t>
            </w:r>
            <w:proofErr w:type="spellStart"/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вебсайті</w:t>
            </w:r>
            <w:proofErr w:type="spellEnd"/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Одеської обласної державної (військової) адміністрації висвітлено інформацію про результати  заходів які були проведені.</w:t>
            </w:r>
          </w:p>
        </w:tc>
        <w:tc>
          <w:tcPr>
            <w:tcW w:w="3686" w:type="dxa"/>
          </w:tcPr>
          <w:p w:rsidR="002418FB" w:rsidRDefault="005350C7" w:rsidP="002418FB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E785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 рамках проведення інформаційно - </w:t>
            </w:r>
            <w:r w:rsidR="00C933B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роз'яснювальної роботи</w:t>
            </w:r>
            <w:r w:rsidRPr="002418F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на офіційному</w:t>
            </w:r>
            <w:r w:rsidRPr="00241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сайті районної державної адміністрації</w:t>
            </w:r>
            <w:r w:rsidRPr="002418F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розміщено інформацію</w:t>
            </w:r>
            <w:r w:rsidRPr="002418FB">
              <w:rPr>
                <w:sz w:val="16"/>
                <w:szCs w:val="16"/>
                <w:lang w:val="uk-UA"/>
              </w:rPr>
              <w:t xml:space="preserve"> </w:t>
            </w:r>
            <w:r w:rsidRPr="002418F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щодо </w:t>
            </w:r>
            <w:r w:rsidR="002418FB" w:rsidRPr="002418F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надання відомостей з Єдиного державного реєстру ветеранів війни</w:t>
            </w:r>
            <w:r w:rsidR="002418FB" w:rsidRPr="002418FB">
              <w:rPr>
                <w:sz w:val="16"/>
                <w:szCs w:val="16"/>
                <w:lang w:val="uk-UA"/>
              </w:rPr>
              <w:t>, з</w:t>
            </w:r>
            <w:r w:rsidR="002418FB" w:rsidRPr="002418F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абезпечення ліками ветеранів (стаціонарне та амбулаторне лікування</w:t>
            </w:r>
            <w:r w:rsidR="002418F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), всебічної підтримки</w:t>
            </w:r>
            <w:r w:rsidR="002418FB" w:rsidRPr="002418F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у працевлаштуван</w:t>
            </w:r>
            <w:r w:rsidR="00C933B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ні</w:t>
            </w:r>
            <w:bookmarkStart w:id="0" w:name="_GoBack"/>
            <w:bookmarkEnd w:id="0"/>
            <w:r w:rsidR="002418F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та інше</w:t>
            </w:r>
          </w:p>
          <w:p w:rsidR="005350C7" w:rsidRPr="00A32A20" w:rsidRDefault="00C607A4" w:rsidP="002418FB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12" w:history="1">
              <w:r w:rsidR="00A32A20" w:rsidRPr="00A32A20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https</w:t>
              </w:r>
              <w:r w:rsidR="00A32A20" w:rsidRPr="00A32A20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uk-UA"/>
                </w:rPr>
                <w:t>://</w:t>
              </w:r>
              <w:r w:rsidR="00A32A20" w:rsidRPr="00A32A20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berezivka</w:t>
              </w:r>
              <w:r w:rsidR="00A32A20" w:rsidRPr="00A32A20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uk-UA"/>
                </w:rPr>
                <w:t>-</w:t>
              </w:r>
              <w:r w:rsidR="00A32A20" w:rsidRPr="00A32A20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rda</w:t>
              </w:r>
              <w:r w:rsidR="00A32A20" w:rsidRPr="00A32A20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uk-UA"/>
                </w:rPr>
                <w:t>.</w:t>
              </w:r>
              <w:r w:rsidR="00A32A20" w:rsidRPr="00A32A20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od</w:t>
              </w:r>
              <w:r w:rsidR="00A32A20" w:rsidRPr="00A32A20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uk-UA"/>
                </w:rPr>
                <w:t>.</w:t>
              </w:r>
              <w:r w:rsidR="00A32A20" w:rsidRPr="00A32A20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gov</w:t>
              </w:r>
              <w:r w:rsidR="00A32A20" w:rsidRPr="00A32A20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uk-UA"/>
                </w:rPr>
                <w:t>.</w:t>
              </w:r>
              <w:r w:rsidR="00A32A20" w:rsidRPr="00A32A20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ua</w:t>
              </w:r>
              <w:r w:rsidR="00A32A20" w:rsidRPr="00A32A20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uk-UA"/>
                </w:rPr>
                <w:t>/</w:t>
              </w:r>
              <w:r w:rsidR="00A32A20" w:rsidRPr="00A32A20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strukturn</w:t>
              </w:r>
              <w:r w:rsidR="00A32A20" w:rsidRPr="00A32A20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uk-UA"/>
                </w:rPr>
                <w:t>-</w:t>
              </w:r>
              <w:r w:rsidR="00A32A20" w:rsidRPr="00A32A20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pdrozdli</w:t>
              </w:r>
              <w:r w:rsidR="00A32A20" w:rsidRPr="00A32A20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uk-UA"/>
                </w:rPr>
                <w:t>/</w:t>
              </w:r>
              <w:r w:rsidR="00A32A20" w:rsidRPr="00A32A20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upravlinnya</w:t>
              </w:r>
              <w:r w:rsidR="00A32A20" w:rsidRPr="00A32A20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uk-UA"/>
                </w:rPr>
                <w:t>-</w:t>
              </w:r>
              <w:r w:rsidR="00A32A20" w:rsidRPr="00A32A20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soczahista</w:t>
              </w:r>
              <w:r w:rsidR="00A32A20" w:rsidRPr="00A32A20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uk-UA"/>
                </w:rPr>
                <w:t>/</w:t>
              </w:r>
            </w:hyperlink>
            <w:r w:rsidR="00A32A20" w:rsidRPr="00A32A2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</w:tc>
      </w:tr>
      <w:tr w:rsidR="005C2245" w:rsidRPr="00C933B7" w:rsidTr="003340A9">
        <w:tc>
          <w:tcPr>
            <w:tcW w:w="424" w:type="dxa"/>
          </w:tcPr>
          <w:p w:rsidR="005350C7" w:rsidRPr="0074419B" w:rsidRDefault="005350C7" w:rsidP="007441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8" w:type="dxa"/>
            <w:vAlign w:val="center"/>
          </w:tcPr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У сфері соціального забезпечення і захисту населення. Забезпечення політики у сфері соціальних послуг</w:t>
            </w:r>
          </w:p>
        </w:tc>
        <w:tc>
          <w:tcPr>
            <w:tcW w:w="1985" w:type="dxa"/>
            <w:vAlign w:val="center"/>
          </w:tcPr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Можливість задоволення приватного інтересу при вирішенні питання влаштування людей похилого віку, осіб з інвалідністю, дітей з інвалідністю до </w:t>
            </w:r>
            <w:proofErr w:type="spellStart"/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інтернатних</w:t>
            </w:r>
            <w:proofErr w:type="spellEnd"/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установ</w:t>
            </w:r>
          </w:p>
        </w:tc>
        <w:tc>
          <w:tcPr>
            <w:tcW w:w="1559" w:type="dxa"/>
          </w:tcPr>
          <w:p w:rsidR="006B32F7" w:rsidRDefault="006B32F7" w:rsidP="006B32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</w:p>
          <w:p w:rsidR="006B32F7" w:rsidRDefault="006B32F7" w:rsidP="006B32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6B3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1. Під час прийняття на роботу. </w:t>
            </w:r>
          </w:p>
          <w:p w:rsidR="005350C7" w:rsidRPr="00F0158C" w:rsidRDefault="006B32F7" w:rsidP="006B32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2. </w:t>
            </w:r>
            <w:r w:rsidRPr="006B3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Щороку до 31 грудня.</w:t>
            </w:r>
          </w:p>
        </w:tc>
        <w:tc>
          <w:tcPr>
            <w:tcW w:w="2410" w:type="dxa"/>
            <w:vAlign w:val="center"/>
          </w:tcPr>
          <w:p w:rsidR="005350C7" w:rsidRDefault="005350C7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1-2. </w:t>
            </w:r>
          </w:p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Департамент соціальної та сімейної політики  Одеської обласної державної (військової) адміністрації, районні державні (військові) адміністрації.</w:t>
            </w:r>
          </w:p>
        </w:tc>
        <w:tc>
          <w:tcPr>
            <w:tcW w:w="3543" w:type="dxa"/>
            <w:vAlign w:val="center"/>
          </w:tcPr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1. Відповідальні за напрям роботи працівники ознайомлені під підпис з обмеженнями, передбаченими Законом України "Про запобігання корупції".                                                    2. Семінари з питань доброчесності проведені</w:t>
            </w:r>
          </w:p>
        </w:tc>
        <w:tc>
          <w:tcPr>
            <w:tcW w:w="3686" w:type="dxa"/>
          </w:tcPr>
          <w:p w:rsidR="005350C7" w:rsidRPr="009C4FAA" w:rsidRDefault="005350C7" w:rsidP="00700B6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C4FA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1.</w:t>
            </w: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Відповідальні за напрям роботи працівники ознайомлені під підпис з обмеженнями, передбаченими Законом України "Про запобігання корупції".</w:t>
            </w:r>
          </w:p>
          <w:p w:rsidR="005350C7" w:rsidRPr="009C4FAA" w:rsidRDefault="005350C7" w:rsidP="00700B6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C4FA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2.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Відповідальні посадові особи пройшли навчання з питань доброчесності та отримали відповідні сертифікати. </w:t>
            </w:r>
          </w:p>
        </w:tc>
      </w:tr>
      <w:tr w:rsidR="005C2245" w:rsidRPr="0074419B" w:rsidTr="003340A9">
        <w:tc>
          <w:tcPr>
            <w:tcW w:w="424" w:type="dxa"/>
          </w:tcPr>
          <w:p w:rsidR="005350C7" w:rsidRPr="0074419B" w:rsidRDefault="005350C7" w:rsidP="007441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8" w:type="dxa"/>
            <w:vAlign w:val="center"/>
          </w:tcPr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У сфері містобуду</w:t>
            </w: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вання та архітектури. Діяльність обласної архітектурно-містобудівної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ради при Департаменті містобуду</w:t>
            </w: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вання та архітектури  Одеської обласної державної (військової) адміністрації</w:t>
            </w:r>
          </w:p>
        </w:tc>
        <w:tc>
          <w:tcPr>
            <w:tcW w:w="1985" w:type="dxa"/>
            <w:vAlign w:val="center"/>
          </w:tcPr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Можливість  надання переваги одним  серед інших членами обласної архітектурно-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містобудівної ради при голосува</w:t>
            </w: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нні щодо розгляду та ухвалення  проєктів містобудівної документації</w:t>
            </w:r>
          </w:p>
        </w:tc>
        <w:tc>
          <w:tcPr>
            <w:tcW w:w="1559" w:type="dxa"/>
          </w:tcPr>
          <w:p w:rsidR="005350C7" w:rsidRPr="00F0158C" w:rsidRDefault="006B32F7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1-2. Перед початком першого засідання оновленого складу містобудівної ради.</w:t>
            </w:r>
          </w:p>
        </w:tc>
        <w:tc>
          <w:tcPr>
            <w:tcW w:w="2410" w:type="dxa"/>
            <w:vAlign w:val="center"/>
          </w:tcPr>
          <w:p w:rsidR="005350C7" w:rsidRDefault="005350C7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1-2. </w:t>
            </w: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 w:type="page"/>
            </w:r>
          </w:p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Голова, секретар та члени обласної архітектурно-містобудівної ради при управлінні з питань містобудування та архітектури Одеської обласної державної (військової) адміністрації, районні державні (військові) адміністрації.</w:t>
            </w:r>
          </w:p>
        </w:tc>
        <w:tc>
          <w:tcPr>
            <w:tcW w:w="3543" w:type="dxa"/>
            <w:vAlign w:val="center"/>
          </w:tcPr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1. На засіданнях обласної архітектурно-містобудівної ради пройшло ознайомлення та збір підписів членів ради щодо недопущення випадків учинення будь-яких дій в умовах конфлікту інтересів.                                                                           2. Ознайомлено з вимогами п. 4.5 наказу </w:t>
            </w:r>
            <w:proofErr w:type="spellStart"/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Мінрегіону</w:t>
            </w:r>
            <w:proofErr w:type="spellEnd"/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України від 07.07.2011 № 108 “Про затвердження Типового положення про архітектурно-містобудівні ради” під особистий підпис кожного члена ради</w:t>
            </w:r>
          </w:p>
        </w:tc>
        <w:tc>
          <w:tcPr>
            <w:tcW w:w="3686" w:type="dxa"/>
          </w:tcPr>
          <w:p w:rsidR="005350C7" w:rsidRPr="00362FC0" w:rsidRDefault="005350C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 районному рівні визначена комісія не ст</w:t>
            </w:r>
            <w:r w:rsidR="0085089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ворена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та не здійснює свою діяльність. </w:t>
            </w:r>
          </w:p>
        </w:tc>
      </w:tr>
      <w:tr w:rsidR="005C2245" w:rsidRPr="00C933B7" w:rsidTr="003340A9">
        <w:tc>
          <w:tcPr>
            <w:tcW w:w="424" w:type="dxa"/>
          </w:tcPr>
          <w:p w:rsidR="005350C7" w:rsidRPr="0074419B" w:rsidRDefault="005350C7" w:rsidP="007441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8" w:type="dxa"/>
            <w:vAlign w:val="center"/>
          </w:tcPr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У галузі капітального будівн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ицтва. Контроль за експлуатацій</w:t>
            </w: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ним утриманням автомобільних доріг загального користування місцевого значення</w:t>
            </w:r>
          </w:p>
        </w:tc>
        <w:tc>
          <w:tcPr>
            <w:tcW w:w="1985" w:type="dxa"/>
            <w:vAlign w:val="center"/>
          </w:tcPr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Можливість задоволення приватного інтересу під час прийому викона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них робіт/послуг з експлуатацій</w:t>
            </w: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ного утримання автомобільних доріг загального користування місцевого значення</w:t>
            </w:r>
          </w:p>
        </w:tc>
        <w:tc>
          <w:tcPr>
            <w:tcW w:w="1559" w:type="dxa"/>
          </w:tcPr>
          <w:p w:rsidR="005350C7" w:rsidRPr="00F0158C" w:rsidRDefault="00D60EA9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D60E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Упродовж контролю за експлу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атаційним утриманням автомобільних доріг загального користуван</w:t>
            </w:r>
            <w:r w:rsidRPr="00D60E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ня місцевого значення</w:t>
            </w:r>
          </w:p>
        </w:tc>
        <w:tc>
          <w:tcPr>
            <w:tcW w:w="2410" w:type="dxa"/>
            <w:vAlign w:val="center"/>
          </w:tcPr>
          <w:p w:rsidR="005350C7" w:rsidRDefault="005350C7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1-2.</w:t>
            </w: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 w:type="page"/>
            </w:r>
          </w:p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Департамент капітального будівництва та дорожнього господарства  Одеської обласної державної (військової) адміністрації,  районні державні (військові) адміністрації.</w:t>
            </w:r>
          </w:p>
        </w:tc>
        <w:tc>
          <w:tcPr>
            <w:tcW w:w="3543" w:type="dxa"/>
            <w:vAlign w:val="center"/>
          </w:tcPr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Звіти за прийняті роботи/послуги з 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</w:t>
            </w: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сплуатаційного утримання автомобільних доріг загального користування місцевого значення надано</w:t>
            </w:r>
          </w:p>
        </w:tc>
        <w:tc>
          <w:tcPr>
            <w:tcW w:w="3686" w:type="dxa"/>
          </w:tcPr>
          <w:p w:rsidR="005350C7" w:rsidRPr="004952F2" w:rsidRDefault="005350C7" w:rsidP="004952F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952F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Районною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державною адміністрацією постійно забезпечується взаємодія між органами місцевого самоврядування району та структурними підрозділами обласної державної адміністрації у сфері дорожнього господарства</w:t>
            </w:r>
          </w:p>
        </w:tc>
      </w:tr>
      <w:tr w:rsidR="005C2245" w:rsidRPr="00C933B7" w:rsidTr="003340A9">
        <w:tc>
          <w:tcPr>
            <w:tcW w:w="424" w:type="dxa"/>
          </w:tcPr>
          <w:p w:rsidR="005350C7" w:rsidRPr="0074419B" w:rsidRDefault="005350C7" w:rsidP="007441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8" w:type="dxa"/>
            <w:vAlign w:val="center"/>
          </w:tcPr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У галузі будівництва, реконструкції та капітального ремонту об'єктів житлово-комунального господарства </w:t>
            </w:r>
          </w:p>
        </w:tc>
        <w:tc>
          <w:tcPr>
            <w:tcW w:w="1985" w:type="dxa"/>
            <w:vAlign w:val="center"/>
          </w:tcPr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Можливість задоволення приватного інтересу під час здійснення замовлення  на виконання робіт</w:t>
            </w:r>
          </w:p>
        </w:tc>
        <w:tc>
          <w:tcPr>
            <w:tcW w:w="1559" w:type="dxa"/>
          </w:tcPr>
          <w:p w:rsidR="00D12C1D" w:rsidRDefault="00D12C1D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</w:p>
          <w:p w:rsidR="00D12C1D" w:rsidRDefault="00D12C1D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</w:p>
          <w:p w:rsidR="005350C7" w:rsidRPr="00F0158C" w:rsidRDefault="00D12C1D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Постійно</w:t>
            </w:r>
          </w:p>
        </w:tc>
        <w:tc>
          <w:tcPr>
            <w:tcW w:w="2410" w:type="dxa"/>
            <w:vAlign w:val="center"/>
          </w:tcPr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1-2-3.</w:t>
            </w: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  <w:t>Департамент капітального будівництва та дорожнього господарства Одеської обласної державної (військової) адміністрації, районні державні (військові) адміністрації.</w:t>
            </w:r>
          </w:p>
        </w:tc>
        <w:tc>
          <w:tcPr>
            <w:tcW w:w="3543" w:type="dxa"/>
            <w:vAlign w:val="center"/>
          </w:tcPr>
          <w:p w:rsidR="005350C7" w:rsidRPr="00F0158C" w:rsidRDefault="005350C7" w:rsidP="00194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Звіти про проведення роботи/послуги з 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к</w:t>
            </w:r>
            <w:r w:rsidRPr="00F01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сплуатаційного утримання автомобільних доріг загального користування місцевого значення надано</w:t>
            </w:r>
          </w:p>
        </w:tc>
        <w:tc>
          <w:tcPr>
            <w:tcW w:w="3686" w:type="dxa"/>
          </w:tcPr>
          <w:p w:rsidR="005350C7" w:rsidRPr="0074419B" w:rsidRDefault="005350C7" w:rsidP="004952F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952F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Районною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державною адміністрацією постійно забезпечується взаємодія між органами місцевого самоврядування району та структурними підрозділами обласної державної адміністрації у сфері будівництва, реконструкції та капітального ремонту об’єктів житлово-комунального господарства</w:t>
            </w:r>
          </w:p>
        </w:tc>
      </w:tr>
    </w:tbl>
    <w:p w:rsidR="00153D08" w:rsidRDefault="00C272F3" w:rsidP="00C272F3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__________________________________</w:t>
      </w:r>
    </w:p>
    <w:p w:rsidR="00B6785F" w:rsidRPr="00316219" w:rsidRDefault="00B6785F">
      <w:pPr>
        <w:rPr>
          <w:rFonts w:ascii="Times New Roman" w:hAnsi="Times New Roman" w:cs="Times New Roman"/>
          <w:color w:val="FF0000"/>
          <w:lang w:val="uk-UA"/>
        </w:rPr>
      </w:pPr>
    </w:p>
    <w:sectPr w:rsidR="00B6785F" w:rsidRPr="00316219" w:rsidSect="00A40069">
      <w:headerReference w:type="default" r:id="rId13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C99" w:rsidRDefault="00BA2C99" w:rsidP="003B623A">
      <w:pPr>
        <w:spacing w:after="0" w:line="240" w:lineRule="auto"/>
      </w:pPr>
      <w:r>
        <w:separator/>
      </w:r>
    </w:p>
  </w:endnote>
  <w:endnote w:type="continuationSeparator" w:id="0">
    <w:p w:rsidR="00BA2C99" w:rsidRDefault="00BA2C99" w:rsidP="003B6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C99" w:rsidRDefault="00BA2C99" w:rsidP="003B623A">
      <w:pPr>
        <w:spacing w:after="0" w:line="240" w:lineRule="auto"/>
      </w:pPr>
      <w:r>
        <w:separator/>
      </w:r>
    </w:p>
  </w:footnote>
  <w:footnote w:type="continuationSeparator" w:id="0">
    <w:p w:rsidR="00BA2C99" w:rsidRDefault="00BA2C99" w:rsidP="003B6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8958931"/>
      <w:docPartObj>
        <w:docPartGallery w:val="Page Numbers (Top of Page)"/>
        <w:docPartUnique/>
      </w:docPartObj>
    </w:sdtPr>
    <w:sdtEndPr/>
    <w:sdtContent>
      <w:p w:rsidR="00A40069" w:rsidRDefault="00A4006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7A4">
          <w:rPr>
            <w:noProof/>
          </w:rPr>
          <w:t>4</w:t>
        </w:r>
        <w:r>
          <w:fldChar w:fldCharType="end"/>
        </w:r>
      </w:p>
    </w:sdtContent>
  </w:sdt>
  <w:p w:rsidR="003B623A" w:rsidRDefault="003B623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1952"/>
    <w:multiLevelType w:val="hybridMultilevel"/>
    <w:tmpl w:val="3DCAC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B1379"/>
    <w:multiLevelType w:val="hybridMultilevel"/>
    <w:tmpl w:val="5824D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CB2850"/>
    <w:multiLevelType w:val="hybridMultilevel"/>
    <w:tmpl w:val="725CA18C"/>
    <w:lvl w:ilvl="0" w:tplc="1506F1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558"/>
    <w:rsid w:val="00085AE8"/>
    <w:rsid w:val="000A698A"/>
    <w:rsid w:val="00153D08"/>
    <w:rsid w:val="001A79C2"/>
    <w:rsid w:val="001C5955"/>
    <w:rsid w:val="002418FB"/>
    <w:rsid w:val="00250762"/>
    <w:rsid w:val="002D3E99"/>
    <w:rsid w:val="00316219"/>
    <w:rsid w:val="00327D74"/>
    <w:rsid w:val="003340A9"/>
    <w:rsid w:val="003472AE"/>
    <w:rsid w:val="00362FC0"/>
    <w:rsid w:val="003B623A"/>
    <w:rsid w:val="003D3748"/>
    <w:rsid w:val="003D45E5"/>
    <w:rsid w:val="00405209"/>
    <w:rsid w:val="00465969"/>
    <w:rsid w:val="00494737"/>
    <w:rsid w:val="004952F2"/>
    <w:rsid w:val="005350C7"/>
    <w:rsid w:val="00566CE7"/>
    <w:rsid w:val="005C2245"/>
    <w:rsid w:val="00634558"/>
    <w:rsid w:val="00634E69"/>
    <w:rsid w:val="006A1D01"/>
    <w:rsid w:val="006B32F7"/>
    <w:rsid w:val="006F6CB1"/>
    <w:rsid w:val="00700B6F"/>
    <w:rsid w:val="00704BF5"/>
    <w:rsid w:val="00716B81"/>
    <w:rsid w:val="00734283"/>
    <w:rsid w:val="0074419B"/>
    <w:rsid w:val="007F68FE"/>
    <w:rsid w:val="00804795"/>
    <w:rsid w:val="00820276"/>
    <w:rsid w:val="00850897"/>
    <w:rsid w:val="00866B3C"/>
    <w:rsid w:val="008E7CB0"/>
    <w:rsid w:val="009C4FAA"/>
    <w:rsid w:val="00A32A20"/>
    <w:rsid w:val="00A40069"/>
    <w:rsid w:val="00A83732"/>
    <w:rsid w:val="00AF2B0C"/>
    <w:rsid w:val="00B13329"/>
    <w:rsid w:val="00B6785F"/>
    <w:rsid w:val="00B87920"/>
    <w:rsid w:val="00BA2C99"/>
    <w:rsid w:val="00BC721D"/>
    <w:rsid w:val="00BE7855"/>
    <w:rsid w:val="00C17A71"/>
    <w:rsid w:val="00C23FAA"/>
    <w:rsid w:val="00C272F3"/>
    <w:rsid w:val="00C607A4"/>
    <w:rsid w:val="00C933B7"/>
    <w:rsid w:val="00CB3A39"/>
    <w:rsid w:val="00CF080E"/>
    <w:rsid w:val="00D12C1D"/>
    <w:rsid w:val="00D40B39"/>
    <w:rsid w:val="00D60EA9"/>
    <w:rsid w:val="00D817F1"/>
    <w:rsid w:val="00DA5BFE"/>
    <w:rsid w:val="00DC2992"/>
    <w:rsid w:val="00DE575F"/>
    <w:rsid w:val="00E26AEC"/>
    <w:rsid w:val="00E357AB"/>
    <w:rsid w:val="00EC5C2B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41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6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6CB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6596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3B62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B623A"/>
  </w:style>
  <w:style w:type="paragraph" w:styleId="aa">
    <w:name w:val="footer"/>
    <w:basedOn w:val="a"/>
    <w:link w:val="ab"/>
    <w:uiPriority w:val="99"/>
    <w:unhideWhenUsed/>
    <w:rsid w:val="003B62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B623A"/>
  </w:style>
  <w:style w:type="character" w:styleId="ac">
    <w:name w:val="FollowedHyperlink"/>
    <w:basedOn w:val="a0"/>
    <w:uiPriority w:val="99"/>
    <w:semiHidden/>
    <w:unhideWhenUsed/>
    <w:rsid w:val="00866B3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41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6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6CB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6596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3B62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B623A"/>
  </w:style>
  <w:style w:type="paragraph" w:styleId="aa">
    <w:name w:val="footer"/>
    <w:basedOn w:val="a"/>
    <w:link w:val="ab"/>
    <w:uiPriority w:val="99"/>
    <w:unhideWhenUsed/>
    <w:rsid w:val="003B62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B623A"/>
  </w:style>
  <w:style w:type="character" w:styleId="ac">
    <w:name w:val="FollowedHyperlink"/>
    <w:basedOn w:val="a0"/>
    <w:uiPriority w:val="99"/>
    <w:semiHidden/>
    <w:unhideWhenUsed/>
    <w:rsid w:val="00866B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3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rezivka-rda.od.gov.ua/zapobigannya-korupcziyi/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erezivka-rda.od.gov.ua/strukturn-pdrozdli/upravlinnya-soczahis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url.li/iabd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erezivka-rda.od.gov.ua/zapobigannya-korupcziy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rezivka-rda.od.gov.ua/zapobigannya-korupcziy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4</Pages>
  <Words>12171</Words>
  <Characters>6939</Characters>
  <Application>Microsoft Office Word</Application>
  <DocSecurity>0</DocSecurity>
  <Lines>57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55</cp:revision>
  <cp:lastPrinted>2024-12-20T13:20:00Z</cp:lastPrinted>
  <dcterms:created xsi:type="dcterms:W3CDTF">2024-05-28T09:39:00Z</dcterms:created>
  <dcterms:modified xsi:type="dcterms:W3CDTF">2025-07-08T10:49:00Z</dcterms:modified>
</cp:coreProperties>
</file>