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126"/>
        <w:gridCol w:w="2126"/>
        <w:gridCol w:w="2977"/>
        <w:gridCol w:w="4961"/>
      </w:tblGrid>
      <w:tr w:rsidR="00D40B39" w:rsidRPr="00D40B39" w:rsidTr="006F6CB1">
        <w:tc>
          <w:tcPr>
            <w:tcW w:w="15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B39" w:rsidRDefault="00D40B39" w:rsidP="006F6CB1">
            <w:pPr>
              <w:tabs>
                <w:tab w:val="left" w:pos="1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40B3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ЗВІТ</w:t>
            </w:r>
          </w:p>
          <w:p w:rsidR="00D40B39" w:rsidRPr="00D40B39" w:rsidRDefault="00D40B39" w:rsidP="00744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40B3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щодо виконання Антикорупційної програми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Pr="00D40B3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Одеської обласної державної (військової) адміністрації на 2024-2026 роки</w:t>
            </w:r>
          </w:p>
          <w:p w:rsidR="006F6CB1" w:rsidRPr="00D40B39" w:rsidRDefault="00BE7855" w:rsidP="006F6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 2024 рік</w:t>
            </w:r>
          </w:p>
          <w:p w:rsidR="00D40B39" w:rsidRPr="00D40B39" w:rsidRDefault="00D40B39" w:rsidP="00744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4737" w:rsidRPr="00716B81" w:rsidRDefault="00716B81" w:rsidP="00716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6B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Березівська районна державна </w:t>
            </w:r>
            <w:r w:rsidR="00DC29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(військова</w:t>
            </w:r>
            <w:bookmarkStart w:id="0" w:name="_GoBack"/>
            <w:bookmarkEnd w:id="0"/>
            <w:r w:rsidR="00DC29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) </w:t>
            </w:r>
            <w:r w:rsidRPr="00716B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адміністрація Одеської області</w:t>
            </w:r>
          </w:p>
          <w:p w:rsidR="00716B81" w:rsidRPr="0074419B" w:rsidRDefault="00716B81" w:rsidP="00716B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D40B39" w:rsidRPr="0074419B" w:rsidTr="006F6CB1"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40B39" w:rsidRPr="00F0158C" w:rsidRDefault="00D40B39" w:rsidP="00B0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40B39" w:rsidRPr="00F0158C" w:rsidRDefault="00D40B39" w:rsidP="00B0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Функція, процес обласної державної (військової) адміністрації, районних державних (військових) адміністрацій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0B39" w:rsidRPr="00F0158C" w:rsidRDefault="00D40B39" w:rsidP="00B0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Корупційний ризик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0B39" w:rsidRPr="00F0158C" w:rsidRDefault="00D40B39" w:rsidP="00B0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7441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Відпові</w:t>
            </w:r>
            <w:r w:rsidRPr="00F0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дальні виконавці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40B39" w:rsidRPr="00F0158C" w:rsidRDefault="00D40B39" w:rsidP="00B0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Індикатори виконання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D40B39" w:rsidRPr="0074419B" w:rsidRDefault="00D40B39" w:rsidP="00B051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441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Здійснені</w:t>
            </w:r>
          </w:p>
          <w:p w:rsidR="00D40B39" w:rsidRPr="0074419B" w:rsidRDefault="00D40B39" w:rsidP="00B051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4419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заходи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Управління інформацією. Організація роботи зі зверненнями громадян 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Можливість працівника задовольнити свій приватний інтерес унаслідок відмови в реалізації права громадянина на звернення  та надання недостовірної інформації   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1-2.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 Відділ роботи із зверненнями громадян апарату обласної державної (військової) адміністрації, структурні підрозділи Одеської обласної державної (військової) адміністрації, районні державні (військові) адміністрації  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Навчання з питань дотримання законодавства про звернення громадян проведено.                                                2. Розроблено пам'ятку про відповідальність за порушення законодавства про звернення громадян у частині неправомірної відмови в реалізації права громадянина на звернення та направлення її до структурних підрозділів облдержадміністрації  та її апарату     </w:t>
            </w:r>
          </w:p>
        </w:tc>
        <w:tc>
          <w:tcPr>
            <w:tcW w:w="4961" w:type="dxa"/>
          </w:tcPr>
          <w:p w:rsidR="0074419B" w:rsidRPr="00566CE7" w:rsidRDefault="000A698A" w:rsidP="000A69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 17 квітня 2024 року посадовими особами відділу документообігу, контролю та організаційної роботи апарату районної державної адміністрації проведено навчання з питань дотримання законодавства про звернення громадян.</w:t>
            </w:r>
          </w:p>
          <w:p w:rsidR="00566CE7" w:rsidRPr="0074419B" w:rsidRDefault="000A698A" w:rsidP="000A698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 Розроблено пам'ятку про відповідальність за порушення законодавства про звернення громадян у частині неправомірної відмови в реалізації права громадянина на звернення, усіх працівників районної державної адміністрації та її апарату ознайомлено з нею під особистий підпис.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Управління персоналом. Призначення на посади державної служби в період дії воєнного стану без проведення конкурсного добору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Можливість задоволення приватного інтересу посадовими особами під час призначення працівників на посади державної служби на п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ідставі та в порядку, передбаче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ч.ч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 5, 7 ст. 10 Закону України "Про правовий режим воєнного стану”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1-2.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Управління з питань персоналу апарату обласної державної (військової) адміністрації, структурні підро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зділи Одеської обласної державн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ої (військової)  адмін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страції, районні державні (військові) адміністрації. 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Забезпечено призначення працівників на посади державної служби  в порядку, передбаченому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ч.ч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 5, 7 ст. 10 Закону України “Про правовий режим воєнного стану”.  Відповідальних працівників кадрової служби, які здійснюють прийом документів, попереджено про недопустимість порушення при перевірці таких документів та їх заповнення</w:t>
            </w:r>
          </w:p>
        </w:tc>
        <w:tc>
          <w:tcPr>
            <w:tcW w:w="4961" w:type="dxa"/>
          </w:tcPr>
          <w:p w:rsidR="0074419B" w:rsidRPr="0074419B" w:rsidRDefault="00CB3A39">
            <w:pPr>
              <w:rPr>
                <w:rFonts w:ascii="Times New Roman" w:hAnsi="Times New Roman" w:cs="Times New Roman"/>
                <w:lang w:val="uk-UA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Забезпечено призначення працівників на посади державної служби  в порядку, передбаченому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ч.ч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 5, 7 ст. 10 Закону України “Про правовий режим воєнного стану”.  Відповідал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ьних працівників відділу з питань персоналу апарату районної державної адміністрації та відповідальних осіб структурних підрозділів районної державної адміністрації зі статусом юридичних осіб публічного права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які здійснюють прийом документів, попереджено про недопустимість порушення при перевірці таких документів та їх заповнення</w:t>
            </w:r>
          </w:p>
        </w:tc>
      </w:tr>
      <w:tr w:rsidR="0074419B" w:rsidRPr="0074419B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Управління персоналом. Нагородження державними нагородами України та урядовими відзнаками 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Можливість голови/членів комісії з питань нагороджень Одеської обласної державної  адміністрації, які приймають рішення про нагородження, діяти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недоброчесно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через наявність приватного інтересу   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1-2.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 w:type="page"/>
              <w:t>Голова та члени комісії з питань нагороджень Одеської обласної державної (військової) адміністрації, районні державні (військові) адміністрації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Членів комісії ознайомлено з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інфографікою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щодо врегулювання конфлікту інтересів, розміщеною на офіційному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вебсайті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Одеської обласної державної (військової) адміністрації.                                                        2. Протоколи засідань комісії складено з документуванням процесу ознайомлення про заборону брати участь у прийнятті рішення в умовах конфлікту інтересів   </w:t>
            </w:r>
          </w:p>
        </w:tc>
        <w:tc>
          <w:tcPr>
            <w:tcW w:w="4961" w:type="dxa"/>
          </w:tcPr>
          <w:p w:rsidR="0074419B" w:rsidRPr="00804795" w:rsidRDefault="0080479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районній державній адміністрації </w:t>
            </w:r>
            <w:r w:rsidR="00B133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створена та не здійснює свою діяльність комісія з питань нагороджень</w:t>
            </w:r>
          </w:p>
        </w:tc>
      </w:tr>
      <w:tr w:rsidR="0074419B" w:rsidRPr="007F68FE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566CE7" w:rsidP="00566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Управління документо</w:t>
            </w:r>
            <w:r w:rsidR="0074419B"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обігом. Облік, зберігання, використання і знищення документів та інших                                                                        матеріальних носіїв інформації, що містять службову інформацію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Можливість отримання неправомірної вигоди за розголошення інформації, що міститься в документах, призначених для службового користування 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Управління діловодства та контролю  апарату обласної державної (військової) адміністрації, структурні  підрозділи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Одеської обласної державної (військової) адміністрації, районні державні (військові) адміністрації</w:t>
            </w:r>
          </w:p>
        </w:tc>
        <w:tc>
          <w:tcPr>
            <w:tcW w:w="2977" w:type="dxa"/>
            <w:vAlign w:val="center"/>
          </w:tcPr>
          <w:p w:rsidR="00DA5BFE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 xml:space="preserve">1. Працівників, яким доручено опрацювання документів, попереджено про відповідальність.        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Про випадки 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недоброчесної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поведінки проінформовано керівництво</w:t>
            </w:r>
            <w:r w:rsidR="00D40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74419B" w:rsidRDefault="007F68FE" w:rsidP="007F68F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68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 травня 2024 року відділом документообігу, контролю та організаційної роботи апарату районної державної адміністрації розроблено та доведено до відома працівників</w:t>
            </w:r>
            <w:r w:rsidRPr="007F68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апарату, стру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ктурних підрозділів</w:t>
            </w:r>
            <w:r w:rsidRPr="007F68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районної державно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ї адміністрації пам'ятку </w:t>
            </w:r>
            <w:r w:rsidRPr="007F68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 персональну відповідальність за розголошення інформації, що стала відома особі у зв'язку з виконанням службових обов'язків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7F68FE" w:rsidRPr="007F68FE" w:rsidRDefault="007F68FE" w:rsidP="007F68F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2. Випадки недоброчесної поведінки станом на звітну дату відсутні.</w:t>
            </w:r>
          </w:p>
        </w:tc>
      </w:tr>
      <w:tr w:rsidR="0074419B" w:rsidRPr="00734283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Запобігання та виявлення корупції. Організація та здійснення заходів із запобігання та виявлення корупції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Ймовірність внесення завідомо недостовірних відомостей у декларації особи, уповноваженої на виконання функцій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держави або місцевого самовря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дування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Відділ з питань запобігання та виявлення корупції Одеської  обласної державної (військової) адміністрації, уповноважені особи з питань запобігання та виявлення корупції районних державних (військових) адміністрацій.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У разі змін в законодавстві, оновленні роз'яснень, матеріалів, сервісів та інструментів їх викладено  на офіційному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вебсайті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Одеської  обласної державної (військової) адміністрації, оглядові листи направлено.                                                                       2. Інформаційні матеріали щодо відповідальності за внесення завідомо недостовірних відомостей у декларацію доведено суб'єктам декларування</w:t>
            </w:r>
            <w:r w:rsidR="00D40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74419B" w:rsidRDefault="00734283" w:rsidP="00734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1. </w:t>
            </w:r>
            <w:r w:rsidRPr="007342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Забезпечено оновлення розділу «Запобігання корупції» офіційного сайту районної державної адміністрації з метою реалізації нововведень та змін до діючого антикорупційного законодавства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У разі прийняття відповідних змін та нововведень до антикорупційного законодавства підпорядкованим структурним підрозділам та установам листи направлено.</w:t>
            </w:r>
          </w:p>
          <w:p w:rsidR="00734283" w:rsidRPr="00734283" w:rsidRDefault="00734283" w:rsidP="00734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2.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Інформаційні матеріали щодо відповідальності за внесення завідомо недостовірних відомостей у декларацію доведено суб'єктам декларування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, постійно проводяться навчання з посадовими особами щодо декларування. 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Запобігання та виявлення корупції. Організація та здійснення заходів із запобігання та виявлення корупції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ожливість включення </w:t>
            </w:r>
            <w:proofErr w:type="spellStart"/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корупціоген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них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факторів до проєктів розпорядчих актів  Одеської  обласної державної (військової) адміністрації для задоволення посадовою особою приватного інтересу 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Відділ з питань запобігання та виявлення корупції Одеської обласної державної (військової) адміністрації, уповноважені особи з питань запобігання та виявлення корупції районних державних (військових) адміністрацій.</w:t>
            </w:r>
          </w:p>
        </w:tc>
        <w:tc>
          <w:tcPr>
            <w:tcW w:w="2977" w:type="dxa"/>
            <w:vAlign w:val="center"/>
          </w:tcPr>
          <w:p w:rsidR="00DA5BFE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Чек-лист типових ознак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корупціогенних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факторів в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проєктах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розпорядчих актів  Одеської обласної державної (військової) адміністрації  розроблено.                                   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2. Зауваження та пропозиції щодо усунення норм, які містять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корупціогенні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фактори та/або не відповідають антикорупційному законодавству, в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проєктах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розпорядчих актів  Одеської обласної державної (військової) адміністрації  надано в письмовій формі</w:t>
            </w:r>
            <w:r w:rsidR="00D40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74419B" w:rsidRDefault="00734283" w:rsidP="007342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7342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1.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Чек-лист типових ознак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корупціогенних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факторів в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проєктах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розп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орядчих актів </w:t>
            </w:r>
            <w:r w:rsidR="00EC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Березівської районної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держав</w:t>
            </w:r>
            <w:r w:rsidR="00EC5C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ної (військової) адміністрації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розроблено</w:t>
            </w:r>
            <w:r w:rsidR="0046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та розміщено на офіційному сайті районної державної адміністрації </w:t>
            </w:r>
            <w:hyperlink r:id="rId8" w:history="1">
              <w:r w:rsidR="00465969" w:rsidRPr="00D438D5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  <w:lang w:val="uk-UA" w:eastAsia="ru-RU"/>
                </w:rPr>
                <w:t>https://berezivka-rda.od.gov.ua/zapobigannya-korupcziyi/</w:t>
              </w:r>
            </w:hyperlink>
            <w:r w:rsidR="00465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. </w:t>
            </w:r>
          </w:p>
          <w:p w:rsidR="00465969" w:rsidRPr="00734283" w:rsidRDefault="00465969" w:rsidP="0073428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2. Уповноваженою особою з питань запобігання та виявлення корупції здійснюється перевірка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проєктів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розп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орядчих актів Березівської районної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державної (військової) адміністрації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щодо наявності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норм, які містять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корупціогенні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фактори та/або не відповідають антикорупційном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у законодавству.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Запобігання та виявлення корупції. Здійснення повноважень у сфері захисту викривачів 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Можливість розголошення інформації про особу викривача, його близьких осіб під час процедури прийняття, розгляду та перевірки повідомлень про корупцію 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Відділ з питань запобігання та виявлення корупції Одеської обласної державної (військової) адміністрації, уповноважені особи з питань запобігання та виявлення корупції районних державних (військових) адміністрацій.</w:t>
            </w:r>
          </w:p>
        </w:tc>
        <w:tc>
          <w:tcPr>
            <w:tcW w:w="2977" w:type="dxa"/>
            <w:vAlign w:val="center"/>
          </w:tcPr>
          <w:p w:rsidR="00566CE7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Пам'ятку щодо правового статусу, прав та гарантій захисту викривача розміщено на офіційному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вебсайті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Одеської обласної державної (військової) адміністрації.                                                 2. Інформація про відповідальність за розголошення інформації про викривача, його близьких осіб розміщена на офіційному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вебсайті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Одеської обласної державної (військової) адміністрації</w:t>
            </w:r>
            <w:r w:rsidR="00D40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4961" w:type="dxa"/>
          </w:tcPr>
          <w:p w:rsidR="00B87920" w:rsidRDefault="00B87920" w:rsidP="00B87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7342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1.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Пам'ятку щодо правового статусу, прав та гарантій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захисту викривача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розроблено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та розміщено на офіційному сайті районної державної адміністрації </w:t>
            </w:r>
            <w:hyperlink r:id="rId9" w:history="1">
              <w:r w:rsidRPr="00D438D5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  <w:lang w:val="uk-UA" w:eastAsia="ru-RU"/>
                </w:rPr>
                <w:t>https://berezivka-rda.od.gov.ua/zapobigannya-korupcziyi/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. </w:t>
            </w:r>
          </w:p>
          <w:p w:rsidR="0074419B" w:rsidRPr="00B87920" w:rsidRDefault="00B87920" w:rsidP="00B8792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2.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Інформація про відповідальність за розголошення інформації про викривача, його близьких осіб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розроблена та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розміщена на офіційному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сайті районної державної адміністрації </w:t>
            </w:r>
            <w:hyperlink r:id="rId10" w:history="1">
              <w:r w:rsidRPr="00D438D5">
                <w:rPr>
                  <w:rStyle w:val="a7"/>
                  <w:rFonts w:ascii="Times New Roman" w:eastAsia="Times New Roman" w:hAnsi="Times New Roman" w:cs="Times New Roman"/>
                  <w:sz w:val="16"/>
                  <w:szCs w:val="16"/>
                  <w:lang w:val="uk-UA" w:eastAsia="ru-RU"/>
                </w:rPr>
                <w:t>https://berezivka-rda.od.gov.ua/zapobigannya-korupcziyi/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.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Проведення закупівель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Можливість фаворитизму при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 w:type="page"/>
              <w:t>укладенні прямих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 w:type="page"/>
              <w:t>дог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оворів з конкретним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 w:type="page"/>
              <w:t>постачальни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ком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Структурні підрозділи Одеської обласної державної (військової) адміністрації, відділ господарського забезпечення  апарату Одеської обласної державної (військової) адміністрації, районні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 xml:space="preserve">державні (військові) адміністрації      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1. Моніторинг ринкових цін  та аналіз конт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агентів відображений в протоколі прийняття рішення уповно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ва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жено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ю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особою під час закупівлі. 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 w:type="page"/>
              <w:t xml:space="preserve">2. Уповноважені особи ознайомлені під підпис з обмеженнями, передбаченими розділом ІV Закону України "Про запобігання корупції"   </w:t>
            </w:r>
          </w:p>
        </w:tc>
        <w:tc>
          <w:tcPr>
            <w:tcW w:w="4961" w:type="dxa"/>
          </w:tcPr>
          <w:p w:rsidR="0074419B" w:rsidRDefault="003B623A" w:rsidP="003B62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1. </w:t>
            </w:r>
            <w:r w:rsidRPr="003B62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Всі закупівлі проводяться згідно вимог чинного законодавства України про закупівлі.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B62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Уповноваженим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 особами проводиться аналіз ці</w:t>
            </w:r>
            <w:r w:rsidRPr="003B62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нових пропозицій. Інформація про закупівлі оприлюднюється у встановленому законодавством порядку (</w:t>
            </w:r>
            <w:hyperlink r:id="rId11" w:history="1">
              <w:r w:rsidRPr="003B5CD0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uk-UA"/>
                </w:rPr>
                <w:t>http://surl.li/iabdr</w:t>
              </w:r>
            </w:hyperlink>
            <w:r w:rsidRPr="003B62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).</w:t>
            </w:r>
            <w:r w:rsidR="00866B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 звітний період проводилися закупівлі без використання електронної системи.</w:t>
            </w:r>
          </w:p>
          <w:p w:rsidR="003B623A" w:rsidRPr="003B623A" w:rsidRDefault="003B623A" w:rsidP="003B62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2. </w:t>
            </w:r>
            <w:r w:rsidRPr="003B62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Всі посадові особи районної державної адміністрації попереджені про відповідальність за порушення вимог антикорупційного законодавства, у тому числі уповноважені особи з питань закупівель (відомості щодо ознайомлення зберігаються в особових справах </w:t>
            </w:r>
            <w:r w:rsidRPr="003B62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таких посадових осіб – попередження від 01.07.2021 та від 15.03.2021 та ін.).</w:t>
            </w:r>
          </w:p>
        </w:tc>
      </w:tr>
      <w:tr w:rsidR="0074419B" w:rsidRPr="00BC721D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Управління  бюджетними коштами.  Планування та використання фінансових ресурсів обласного  бюджету 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Можливість задовольнити приватний інтерес в процесі управління бюджетними коштами через порушення бюджетного законодавства при плануванні та використанні фінансових ресурсів обласного  бюджету 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1-2-3. </w:t>
            </w:r>
          </w:p>
          <w:p w:rsidR="001A79C2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Департамент фінансів  Одеської обласно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державної (військової) адміністрації, головні розпорядники коштів обласного бюджету - структурні підрозділи  Одеської обласної державної (військової) адміністрації.              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3. Районні державні (військові) адміністрації 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План заходів щодо наповнення місцевих бюджетів, ефективного використання бюджетних коштів та посилення фінансово-бюджетної дисципліни розроблено та затверджено розпорядженням начальника  Одеської обласної державної (військової) адміністрації.  Складено звіти про виконання цих заходів.                                                     2. Підготовлено інформацію: про перевірку кошторисів і планів використання коштів, підготовлено та схвалення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проєкту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обласного бюджету, паспорти бюджетних програм затверджені головними розпорядниками бюджетних коштів та подані до органів Казначейства.                                                                                          3. Проведено навчальні заходи з підвищення рівня професійності та відповідальності посадових осіб, причетних до управління бюджетними коштами.     </w:t>
            </w:r>
          </w:p>
        </w:tc>
        <w:tc>
          <w:tcPr>
            <w:tcW w:w="4961" w:type="dxa"/>
          </w:tcPr>
          <w:p w:rsidR="0074419B" w:rsidRPr="00BE7855" w:rsidRDefault="00BC721D" w:rsidP="00BC721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E78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Розпорядженням голови (начальника) Березівської районної державної (військової)  адміністрації затверджено районний бюджет на 2024 рік, на підставі складено та перевірено кошторис 1 головного розпорядника бюджетних коштів. У визначений законодавством термін затверджено паспорт по одній бюджетній програмі та вчасно подано до органу Казначейства.</w:t>
            </w:r>
          </w:p>
        </w:tc>
      </w:tr>
      <w:tr w:rsidR="0074419B" w:rsidRPr="00716B81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Здійснення діяльності з внутрішнього аудиту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Ймовірність отримання працівниками сектору внутрішнього аудиту неправомірної вигоди під час визначення об'єктів для дослідження та проведення внутрішнього аудиту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1-2.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 w:type="page"/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Сектор внутрішнього аудиту Одеської обласної державної (військової) адміністрації                                         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Всі працівники  сектору внутрішнього аудиту Одеської обласної державної (військової) адміністрації                                          ознайомлені з  вимогами законодавства у сфері запобігання корупції .                                                      2. Довідка   про випадки спроб впливу зацікавлених осіб на працівників  сектору внутрішнього аудиту  Одеської обласної державної  (військової) адміністрації  надана до відділу з питань запобігання та виявлення корупції Одеської обласної військової  адміністрації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 w:type="page"/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 w:type="page"/>
            </w:r>
          </w:p>
        </w:tc>
        <w:tc>
          <w:tcPr>
            <w:tcW w:w="4961" w:type="dxa"/>
          </w:tcPr>
          <w:p w:rsidR="0074419B" w:rsidRPr="00716B81" w:rsidRDefault="00716B8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6B8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належить до компетенції районної державної адміністрації</w:t>
            </w:r>
          </w:p>
        </w:tc>
      </w:tr>
      <w:tr w:rsidR="0074419B" w:rsidRPr="0074419B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 галузі транспорту. Здійснення та забезпечення проведення конкурсів  з перевезення  пасажирів на міжміських та приміських  автобусних маршрутах загального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користуван-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ня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 які не виходять за межі території Одеської області (внутрішньо-обласні маршрути)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Можливість впливу з боку третіх осіб на працівника Департаменту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морегосподарського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комплексу, транспортної інфраструктури та зв’язку Одеської обласної державної (військової) адміністрації у зв'язку з виконанням ним своїх обов'язків з прийняття та реєстрації  у журналі обліку документів для 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 xml:space="preserve">участі в конкурсі з перевезення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пасажірів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на приміських автобусних маршрутах загального користування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 xml:space="preserve">1-2.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Департамент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морегосподарського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комплексу, транспортної інфраструктури та зв’язку Одеської обласної державної (військової) адміністрації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Навчання та інструктажі про необхідність дотримання встановленого процесу реєстрації поданих на конкурс документів  проведено.                                                                2. Встановлено контроль за недопущенням випадків прийняття та реєстрації документів для участі в конкурсі після спливу терміну на їх подачу </w:t>
            </w:r>
          </w:p>
        </w:tc>
        <w:tc>
          <w:tcPr>
            <w:tcW w:w="4961" w:type="dxa"/>
          </w:tcPr>
          <w:p w:rsidR="0074419B" w:rsidRPr="00716B81" w:rsidRDefault="00716B8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6B8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належить до компетенції районної державної адміністрації</w:t>
            </w:r>
          </w:p>
        </w:tc>
      </w:tr>
      <w:tr w:rsidR="0074419B" w:rsidRPr="0074419B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 сфері архівної справи. Контроль за  наданням  архівних довідок 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Можливість впливу з боку третіх осіб на працівника Державного архіву Одеської області щодо надання недостов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рних відомостей в архівних довідках </w:t>
            </w:r>
          </w:p>
        </w:tc>
        <w:tc>
          <w:tcPr>
            <w:tcW w:w="2126" w:type="dxa"/>
            <w:vAlign w:val="center"/>
          </w:tcPr>
          <w:p w:rsidR="00566CE7" w:rsidRDefault="0074419B" w:rsidP="00566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</w:p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Відділ інформації, використання документів та документального забезпечення Державного архіву Одеської області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Роз'яснювальну роботу щодо алгоритму дій у разі надходження пропозиції отримання неправомірної вигоди проведено.                                                                     2. Наявність книги скарг та пропозицій у столі довідок </w:t>
            </w:r>
          </w:p>
        </w:tc>
        <w:tc>
          <w:tcPr>
            <w:tcW w:w="4961" w:type="dxa"/>
          </w:tcPr>
          <w:p w:rsidR="0074419B" w:rsidRPr="00716B81" w:rsidRDefault="00716B8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6B8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належить до компетенції районної державної адміністрації</w:t>
            </w:r>
          </w:p>
        </w:tc>
      </w:tr>
      <w:tr w:rsidR="0074419B" w:rsidRPr="00716B81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 сфері інформаційної діяльності та комунікацій з громадськістю. Забезпечення інформаційної політики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Можливість впливу сторонніх осіб на працівників  Департаменту цифрового розвитку, інформаційної політики та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кіберзахисту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Одеської обласної державної (військової) адміністраці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ї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з метою оприлюднення на офіційному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вебсайті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Одеської обласної державної (військової) адміністраці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ї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недостовірної та упередженої інформації    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Департамент цифрового розвитку, інформаційної політики та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кіберзахисту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Одеської обласної державної (військової) адміністраці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</w:p>
        </w:tc>
        <w:tc>
          <w:tcPr>
            <w:tcW w:w="2977" w:type="dxa"/>
            <w:vAlign w:val="center"/>
          </w:tcPr>
          <w:p w:rsidR="0074419B" w:rsidRDefault="0074419B" w:rsidP="00494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Роз'яснювальну роботу щодо алгоритму дій у разі надходження пропозиції отримання неправомірної вигоди проведено.                                   2. Працівників  Департаменту цифрового розвитку, інформаційної політики та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кіберзахисту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Одеської обласної державної (військової) адміністраці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попереджено про відповідальність за розміщення недостовірної та упередженої інформації</w:t>
            </w:r>
          </w:p>
          <w:p w:rsidR="00494737" w:rsidRPr="00F0158C" w:rsidRDefault="00494737" w:rsidP="004947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4961" w:type="dxa"/>
          </w:tcPr>
          <w:p w:rsidR="0074419B" w:rsidRPr="00716B81" w:rsidRDefault="00716B8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6B8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належить до компетенції районної державної адміністрації</w:t>
            </w:r>
          </w:p>
        </w:tc>
      </w:tr>
      <w:tr w:rsidR="0074419B" w:rsidRPr="00716B81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У сфері освіти. Проведення атестації керівних кадрів, інших педагогічних працівників закладів дошкільної, загальної середньої, позашкільної, професійної (професійно-технічної), фахової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передвищої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освіти та інших закладів, установ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Можливість задоволення приватного інтересу членами атестаційної комісії ІІІ рівня під час проведення процедури атестації керівних кадрів та педагогічних працівників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1-2.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 w:type="page"/>
              <w:t>Департамент освіти і науки Одеської обласної державної (військової) адміністраці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ї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 голова та члени комісії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1. До роботи у складі атестаційної комісії ІІІ рівня залучено представника профспілкової організації.                                                                         2. Протоколи засідань комісії складено з документуванням ознайомлення членів про заборону брати участь у прийнятті рішення в умовах конфлікту інтересів                                           3.Розробити  Пам’ятку члена атестаційної комісії   та  ознайомити членів атестаційної комісії під підпис </w:t>
            </w:r>
          </w:p>
        </w:tc>
        <w:tc>
          <w:tcPr>
            <w:tcW w:w="4961" w:type="dxa"/>
          </w:tcPr>
          <w:p w:rsidR="0074419B" w:rsidRPr="00716B81" w:rsidRDefault="00716B8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6B8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належить до компетенції районної державної адміністрації</w:t>
            </w:r>
          </w:p>
        </w:tc>
      </w:tr>
      <w:tr w:rsidR="0074419B" w:rsidRPr="00716B81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Адміністративні послуги. Видача документів дозвільного хар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актеру та надання адміністратив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них послуг </w:t>
            </w:r>
          </w:p>
        </w:tc>
        <w:tc>
          <w:tcPr>
            <w:tcW w:w="2126" w:type="dxa"/>
            <w:vAlign w:val="center"/>
          </w:tcPr>
          <w:p w:rsidR="0074419B" w:rsidRPr="00F0158C" w:rsidRDefault="00566CE7" w:rsidP="00566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Ймовірна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недоброчес</w:t>
            </w:r>
            <w:r w:rsidR="0074419B"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ність</w:t>
            </w:r>
            <w:proofErr w:type="spellEnd"/>
            <w:r w:rsidR="0074419B"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працівників структурного підрозділу Одеської обласної державної (військової) адміністрації - суб'єкта надання адміністративних послуг під час надання адміністративних послуг (видачі документів дозвільного характеру) </w:t>
            </w:r>
          </w:p>
        </w:tc>
        <w:tc>
          <w:tcPr>
            <w:tcW w:w="2126" w:type="dxa"/>
            <w:vAlign w:val="center"/>
          </w:tcPr>
          <w:p w:rsidR="00566CE7" w:rsidRDefault="0074419B" w:rsidP="00566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1-2-3. </w:t>
            </w:r>
          </w:p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Структурні підрозділи Одеської обласної державної (військової) 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а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дміністрації - суб'єкти надання адміністративних послуг 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 Працівників, задіяних у наданні адміністративних послуг, попереджено про відповідальність відповідно до чинного законодавства.                                                                  2. Контроль з боку керівництва за поточною діяльністю працівників, задіяних у наданні адміністративних послуг, шляхом вивчення, аналізу та візува</w:t>
            </w:r>
            <w:r w:rsidR="003472A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ння документів. 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3. Інформація на тематичних підрозділах офіційного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вебсайту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Одеської обласної державної (військової) адміністрації в актуальному стані</w:t>
            </w:r>
          </w:p>
        </w:tc>
        <w:tc>
          <w:tcPr>
            <w:tcW w:w="4961" w:type="dxa"/>
          </w:tcPr>
          <w:p w:rsidR="0074419B" w:rsidRPr="00716B81" w:rsidRDefault="00716B8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16B8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належить до компетенції районної державної адміністрації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 сфері соціального забезпечення і захисту населення. Проблемні питання соціального захисту ветеранів та їх родин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566C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Ймовірна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недоброчесність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посадових осіб та/або зловживання посадовою особою служб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овими обов’язками при нарахуван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ні ветеранам війни щорічної грошової допомоги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1-2.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 w:type="page"/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Департамент соціальної та сімейної політики Одеської обласної державної (військової) адміністрації,  районні державні (військові) адміністрації.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На офіційному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вебсайті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Одеської обласної державної (військової) адміністрації висвітлено інформацію про результати  заходів які були проведені.</w:t>
            </w:r>
          </w:p>
        </w:tc>
        <w:tc>
          <w:tcPr>
            <w:tcW w:w="4961" w:type="dxa"/>
          </w:tcPr>
          <w:p w:rsidR="0074419B" w:rsidRPr="00BE7855" w:rsidRDefault="009C4FAA" w:rsidP="009C4F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E78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 рамках проведення інформаційно - роз'яснювальної роботи щодо виплат щорічної грошової допомоги на офіційному</w:t>
            </w:r>
            <w:r w:rsidRPr="00BE7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сайті районної державної адміністрації</w:t>
            </w:r>
            <w:r w:rsidRPr="00BE78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розміщено інформацію</w:t>
            </w:r>
            <w:r w:rsidRPr="00BE7855">
              <w:rPr>
                <w:lang w:val="uk-UA"/>
              </w:rPr>
              <w:t xml:space="preserve"> </w:t>
            </w:r>
            <w:r w:rsidRPr="00BE78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щодо разової грошової виплати до Дня Незалежності України ветеранам війни та деяким іншим категоріям громадян</w:t>
            </w:r>
            <w:r w:rsidRPr="00BE7855">
              <w:rPr>
                <w:lang w:val="uk-UA"/>
              </w:rPr>
              <w:t xml:space="preserve"> </w:t>
            </w:r>
            <w:hyperlink r:id="rId12" w:history="1">
              <w:r w:rsidRPr="00BE7855">
                <w:rPr>
                  <w:rStyle w:val="a7"/>
                  <w:rFonts w:ascii="Times New Roman" w:hAnsi="Times New Roman" w:cs="Times New Roman"/>
                  <w:sz w:val="16"/>
                  <w:szCs w:val="16"/>
                  <w:u w:val="none"/>
                  <w:lang w:val="uk-UA"/>
                </w:rPr>
                <w:t>https://berezivka-rda.od.gov.ua/strukturn-pdrozdli/upravlinnya-soczahista/</w:t>
              </w:r>
            </w:hyperlink>
            <w:r w:rsidR="00700B6F" w:rsidRPr="00BE78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BE78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 сфері соціального забезпечення і захисту населення. Забезпечення політики у сфері соціальних послуг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Можливість задоволення приватного інтересу при вирішенні питання влаштування людей похилого віку, осіб з інвалідністю, дітей з інвалідністю до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інтернатних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установ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Департамент соціальної та сімейної політики  Одеської обласної державної (військової) адміністрації, районні державні (військові) адміністрації.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 Відповідальні за напрям роботи працівники ознайомлені під підпис з обмеженнями, передбаченими Законом України "Про запобігання корупції".                                                    2. Семінари з питань доброчесності проведені</w:t>
            </w:r>
          </w:p>
        </w:tc>
        <w:tc>
          <w:tcPr>
            <w:tcW w:w="4961" w:type="dxa"/>
          </w:tcPr>
          <w:p w:rsidR="0074419B" w:rsidRPr="009C4FAA" w:rsidRDefault="009C4FAA" w:rsidP="00700B6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C4F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  <w:r w:rsidR="00700B6F"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Відповідальні за напрям роботи працівники ознайомлені під підпис з обмеженнями, передбаченими Законом України "Про запобігання корупції".</w:t>
            </w:r>
          </w:p>
          <w:p w:rsidR="009C4FAA" w:rsidRPr="009C4FAA" w:rsidRDefault="009C4FAA" w:rsidP="00700B6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C4F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Відповідальні посадові особи пройшли навчання</w:t>
            </w:r>
            <w:r w:rsidR="00700B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 питань доброчесності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отримали </w:t>
            </w:r>
            <w:r w:rsidR="00700B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відповідні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сертифікати</w:t>
            </w:r>
            <w:r w:rsidR="00700B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74419B" w:rsidRPr="0074419B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566CE7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 сфері містобуду</w:t>
            </w:r>
            <w:r w:rsidR="0074419B"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вання та архітектури. Діяльність обласної архітектурно-містобудівної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ради при Департаменті містобуду</w:t>
            </w:r>
            <w:r w:rsidR="0074419B"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вання та архітектури  Одеської обласної державної (військової) адміністрації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Можливість  надання переваги одним  серед інших членами обласної архітектурно-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містобудівної ради при голосува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нні щодо розгляду та ухвалення  проєктів містобудівної документації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1-2. 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 w:type="page"/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Голова, секретар та члени обласної архітектурно-містобудівної ради при управлінні з питань містобудування та архітектури Одеської обласної державної (військової) адміністрації, районні державні (військові) адміністрації.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1. На засіданнях обласної архітектурно-містобудівної ради пройшло ознайомлення та збір підписів членів ради щодо недопущення випадків учинення будь-яких дій в умовах конфлікту інтересів.                                                                           2. Ознайомлено з вимогами п. 4.5 наказу </w:t>
            </w:r>
            <w:proofErr w:type="spellStart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Мінрегіону</w:t>
            </w:r>
            <w:proofErr w:type="spellEnd"/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 xml:space="preserve"> України від 07.07.2011 № 108 “Про затвердження Типового положення про архітектурно-містобудівні ради” під особистий підпис кожного члена ради</w:t>
            </w:r>
          </w:p>
        </w:tc>
        <w:tc>
          <w:tcPr>
            <w:tcW w:w="4961" w:type="dxa"/>
          </w:tcPr>
          <w:p w:rsidR="0074419B" w:rsidRPr="00362FC0" w:rsidRDefault="00362FC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районному рівні визначена комісія не створюється</w:t>
            </w:r>
            <w:r w:rsidR="00C17A7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не здійснює свою діяльність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327D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 галузі капітального будівн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ицтва. Контроль за експлуатацій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ним утриманням автомобільних доріг загального користування місцевого значення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Можливість задоволення приватного інтересу під час прийому викона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них робіт/послуг з експлуатацій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ного утримання автомобільних доріг загального користування місцевого значення</w:t>
            </w:r>
          </w:p>
        </w:tc>
        <w:tc>
          <w:tcPr>
            <w:tcW w:w="2126" w:type="dxa"/>
            <w:vAlign w:val="center"/>
          </w:tcPr>
          <w:p w:rsidR="00566CE7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1-2.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 w:type="page"/>
            </w:r>
          </w:p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Департамент капітального будівництва та дорожнього господарства  Одеської обласної державної (військової) адміністрації,  районні державні (військові) адміністрації.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Звіти за прийняті роботи/послуги з е</w:t>
            </w:r>
            <w:r w:rsidR="00566CE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</w:t>
            </w: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сплуатаційного утримання автомобільних доріг загального користування місцевого значення надано</w:t>
            </w:r>
          </w:p>
        </w:tc>
        <w:tc>
          <w:tcPr>
            <w:tcW w:w="4961" w:type="dxa"/>
          </w:tcPr>
          <w:p w:rsidR="0074419B" w:rsidRPr="004952F2" w:rsidRDefault="004952F2" w:rsidP="004952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2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Районною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державною адміністрацією постійно забезпечується взаємодія між органами місцевого самоврядування району та структурними підрозділами обласної державної адміністрації у сфері дорожнього господарства</w:t>
            </w:r>
          </w:p>
        </w:tc>
      </w:tr>
      <w:tr w:rsidR="0074419B" w:rsidRPr="00DC2992" w:rsidTr="006F6CB1">
        <w:tc>
          <w:tcPr>
            <w:tcW w:w="425" w:type="dxa"/>
          </w:tcPr>
          <w:p w:rsidR="0074419B" w:rsidRPr="0074419B" w:rsidRDefault="0074419B" w:rsidP="007441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 галузі будівництва, реконструкції та капітального ремонту об'єктів житлово-комунального господарства 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Можливість задоволення приватного інтересу під час здійснення замовлення  на виконання робіт</w:t>
            </w:r>
          </w:p>
        </w:tc>
        <w:tc>
          <w:tcPr>
            <w:tcW w:w="2126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1-2-3.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Департамент капітального будівництва та дорожнього господарства Одеської обласної державної (військової) адміністрації, районні державні (військові) адміністрації.</w:t>
            </w:r>
          </w:p>
        </w:tc>
        <w:tc>
          <w:tcPr>
            <w:tcW w:w="2977" w:type="dxa"/>
            <w:vAlign w:val="center"/>
          </w:tcPr>
          <w:p w:rsidR="0074419B" w:rsidRPr="00F0158C" w:rsidRDefault="0074419B" w:rsidP="00194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Звіти про проведення роботи/послуги з е</w:t>
            </w:r>
            <w:r w:rsidR="00566C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к</w:t>
            </w:r>
            <w:r w:rsidRPr="00F01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сплуатаційного утримання автомобільних доріг загального користування місцевого значення надано</w:t>
            </w:r>
          </w:p>
        </w:tc>
        <w:tc>
          <w:tcPr>
            <w:tcW w:w="4961" w:type="dxa"/>
          </w:tcPr>
          <w:p w:rsidR="0074419B" w:rsidRPr="0074419B" w:rsidRDefault="004952F2" w:rsidP="004952F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952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Районною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державною адміністрацією постійно забезпечується взаємодія між органами місцевого самоврядування району та структурними підрозділами обласної державної адміністрації у сфері будівництва, реконструкції та капітального ремонту об’єктів житлово-комунального господарства</w:t>
            </w:r>
          </w:p>
        </w:tc>
      </w:tr>
    </w:tbl>
    <w:p w:rsidR="00153D08" w:rsidRDefault="00C272F3" w:rsidP="00C272F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</w:t>
      </w:r>
    </w:p>
    <w:p w:rsidR="00B6785F" w:rsidRPr="00316219" w:rsidRDefault="00B6785F">
      <w:pPr>
        <w:rPr>
          <w:rFonts w:ascii="Times New Roman" w:hAnsi="Times New Roman" w:cs="Times New Roman"/>
          <w:color w:val="FF0000"/>
          <w:lang w:val="uk-UA"/>
        </w:rPr>
      </w:pPr>
    </w:p>
    <w:sectPr w:rsidR="00B6785F" w:rsidRPr="00316219" w:rsidSect="00A40069">
      <w:head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99" w:rsidRDefault="00BA2C99" w:rsidP="003B623A">
      <w:pPr>
        <w:spacing w:after="0" w:line="240" w:lineRule="auto"/>
      </w:pPr>
      <w:r>
        <w:separator/>
      </w:r>
    </w:p>
  </w:endnote>
  <w:endnote w:type="continuationSeparator" w:id="0">
    <w:p w:rsidR="00BA2C99" w:rsidRDefault="00BA2C99" w:rsidP="003B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99" w:rsidRDefault="00BA2C99" w:rsidP="003B623A">
      <w:pPr>
        <w:spacing w:after="0" w:line="240" w:lineRule="auto"/>
      </w:pPr>
      <w:r>
        <w:separator/>
      </w:r>
    </w:p>
  </w:footnote>
  <w:footnote w:type="continuationSeparator" w:id="0">
    <w:p w:rsidR="00BA2C99" w:rsidRDefault="00BA2C99" w:rsidP="003B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58931"/>
      <w:docPartObj>
        <w:docPartGallery w:val="Page Numbers (Top of Page)"/>
        <w:docPartUnique/>
      </w:docPartObj>
    </w:sdtPr>
    <w:sdtEndPr/>
    <w:sdtContent>
      <w:p w:rsidR="00A40069" w:rsidRDefault="00A40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992">
          <w:rPr>
            <w:noProof/>
          </w:rPr>
          <w:t>5</w:t>
        </w:r>
        <w:r>
          <w:fldChar w:fldCharType="end"/>
        </w:r>
      </w:p>
    </w:sdtContent>
  </w:sdt>
  <w:p w:rsidR="003B623A" w:rsidRDefault="003B62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952"/>
    <w:multiLevelType w:val="hybridMultilevel"/>
    <w:tmpl w:val="3DCA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B1379"/>
    <w:multiLevelType w:val="hybridMultilevel"/>
    <w:tmpl w:val="5824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B2850"/>
    <w:multiLevelType w:val="hybridMultilevel"/>
    <w:tmpl w:val="725CA18C"/>
    <w:lvl w:ilvl="0" w:tplc="1506F1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58"/>
    <w:rsid w:val="000A698A"/>
    <w:rsid w:val="00153D08"/>
    <w:rsid w:val="001A79C2"/>
    <w:rsid w:val="001C5955"/>
    <w:rsid w:val="00316219"/>
    <w:rsid w:val="00327D74"/>
    <w:rsid w:val="003472AE"/>
    <w:rsid w:val="00362FC0"/>
    <w:rsid w:val="003B623A"/>
    <w:rsid w:val="003D3748"/>
    <w:rsid w:val="00465969"/>
    <w:rsid w:val="00494737"/>
    <w:rsid w:val="004952F2"/>
    <w:rsid w:val="00566CE7"/>
    <w:rsid w:val="00634558"/>
    <w:rsid w:val="006F6CB1"/>
    <w:rsid w:val="00700B6F"/>
    <w:rsid w:val="00716B81"/>
    <w:rsid w:val="00734283"/>
    <w:rsid w:val="0074419B"/>
    <w:rsid w:val="007F68FE"/>
    <w:rsid w:val="00804795"/>
    <w:rsid w:val="00866B3C"/>
    <w:rsid w:val="009C4FAA"/>
    <w:rsid w:val="00A40069"/>
    <w:rsid w:val="00B13329"/>
    <w:rsid w:val="00B6785F"/>
    <w:rsid w:val="00B87920"/>
    <w:rsid w:val="00BA2C99"/>
    <w:rsid w:val="00BC721D"/>
    <w:rsid w:val="00BE7855"/>
    <w:rsid w:val="00C17A71"/>
    <w:rsid w:val="00C272F3"/>
    <w:rsid w:val="00CB3A39"/>
    <w:rsid w:val="00D40B39"/>
    <w:rsid w:val="00DA5BFE"/>
    <w:rsid w:val="00DC2992"/>
    <w:rsid w:val="00DE575F"/>
    <w:rsid w:val="00E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1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596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B62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623A"/>
  </w:style>
  <w:style w:type="paragraph" w:styleId="aa">
    <w:name w:val="footer"/>
    <w:basedOn w:val="a"/>
    <w:link w:val="ab"/>
    <w:uiPriority w:val="99"/>
    <w:unhideWhenUsed/>
    <w:rsid w:val="003B62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23A"/>
  </w:style>
  <w:style w:type="character" w:styleId="ac">
    <w:name w:val="FollowedHyperlink"/>
    <w:basedOn w:val="a0"/>
    <w:uiPriority w:val="99"/>
    <w:semiHidden/>
    <w:unhideWhenUsed/>
    <w:rsid w:val="00866B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1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596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B62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623A"/>
  </w:style>
  <w:style w:type="paragraph" w:styleId="aa">
    <w:name w:val="footer"/>
    <w:basedOn w:val="a"/>
    <w:link w:val="ab"/>
    <w:uiPriority w:val="99"/>
    <w:unhideWhenUsed/>
    <w:rsid w:val="003B62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23A"/>
  </w:style>
  <w:style w:type="character" w:styleId="ac">
    <w:name w:val="FollowedHyperlink"/>
    <w:basedOn w:val="a0"/>
    <w:uiPriority w:val="99"/>
    <w:semiHidden/>
    <w:unhideWhenUsed/>
    <w:rsid w:val="00866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ivka-rda.od.gov.ua/zapobigannya-korupcziyi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erezivka-rda.od.gov.ua/strukturn-pdrozdli/upravlinnya-soczahi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rl.li/iabd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rezivka-rda.od.gov.ua/zapobigannya-korupcziy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ezivka-rda.od.gov.ua/zapobigannya-korupcziy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14824</Words>
  <Characters>8450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30</cp:revision>
  <cp:lastPrinted>2024-12-20T13:20:00Z</cp:lastPrinted>
  <dcterms:created xsi:type="dcterms:W3CDTF">2024-05-28T09:39:00Z</dcterms:created>
  <dcterms:modified xsi:type="dcterms:W3CDTF">2025-01-06T08:03:00Z</dcterms:modified>
</cp:coreProperties>
</file>