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95" w:rsidRPr="00C82DFE" w:rsidRDefault="006365FF" w:rsidP="003D7695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C82DFE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Мишоподібні гризуни та захист від них у полі.</w:t>
      </w:r>
    </w:p>
    <w:p w:rsidR="00454D79" w:rsidRPr="00C82DFE" w:rsidRDefault="003D7695" w:rsidP="003D769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pacing w:val="2"/>
          <w:sz w:val="28"/>
          <w:szCs w:val="28"/>
          <w:lang w:val="uk-UA"/>
        </w:rPr>
      </w:pPr>
      <w:r w:rsidRPr="00C82DFE">
        <w:rPr>
          <w:color w:val="000000" w:themeColor="text1"/>
          <w:spacing w:val="2"/>
          <w:sz w:val="28"/>
          <w:szCs w:val="28"/>
          <w:lang w:val="uk-UA"/>
        </w:rPr>
        <w:t xml:space="preserve">Осінь поточного року відзначається аномально високими температурами повітря та відсутністю опадів, такі умови надзвичайно сприятливі для розвитку і стрімкого розмноження мишоподібних гризунів. На разі відмічається  стрімке заселення  посівів озимих культур, що в свою чергу становить високу загрозу для рослин озимого ріпаку та для посівів озимих зернових культур, оскільки гризуни живляться як зеленою масою рослин так і насінням, яке висіяне в </w:t>
      </w:r>
      <w:proofErr w:type="spellStart"/>
      <w:r w:rsidRPr="00C82DFE">
        <w:rPr>
          <w:color w:val="000000" w:themeColor="text1"/>
          <w:spacing w:val="2"/>
          <w:sz w:val="28"/>
          <w:szCs w:val="28"/>
          <w:lang w:val="uk-UA"/>
        </w:rPr>
        <w:t>грунт</w:t>
      </w:r>
      <w:proofErr w:type="spellEnd"/>
      <w:r w:rsidRPr="00C82DFE">
        <w:rPr>
          <w:color w:val="000000" w:themeColor="text1"/>
          <w:spacing w:val="2"/>
          <w:sz w:val="28"/>
          <w:szCs w:val="28"/>
          <w:lang w:val="uk-UA"/>
        </w:rPr>
        <w:t>, затягуючи його в свої нірки , готують запаси кормів для живлення в зимов</w:t>
      </w:r>
      <w:bookmarkStart w:id="0" w:name="_GoBack"/>
      <w:bookmarkEnd w:id="0"/>
      <w:r w:rsidRPr="00C82DFE">
        <w:rPr>
          <w:color w:val="000000" w:themeColor="text1"/>
          <w:spacing w:val="2"/>
          <w:sz w:val="28"/>
          <w:szCs w:val="28"/>
          <w:lang w:val="uk-UA"/>
        </w:rPr>
        <w:t>ий період . Видовий склад мишоподібних гризунів це звичайна полівка та курганчикова миша (полівка звичайна-75%, курганчикова миша-25%) . Характерною біологічною особливістю цих шкідників є живлення їх рослинним кормом та висока плодючість. За сприятливих умов вони можуть розмножуватися у великій кількості на значній території  та суттєво  знижувати врожайність озимих зернових, озимого ріпаку.</w:t>
      </w:r>
    </w:p>
    <w:p w:rsidR="003D7695" w:rsidRPr="00C82DFE" w:rsidRDefault="00454D79" w:rsidP="003D7695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 w:rsidRPr="00C82DFE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C82DFE">
        <w:rPr>
          <w:b/>
          <w:color w:val="000000" w:themeColor="text1"/>
          <w:spacing w:val="2"/>
          <w:sz w:val="28"/>
          <w:szCs w:val="28"/>
          <w:lang w:val="uk-UA"/>
        </w:rPr>
        <w:t>Полівка звичайна</w:t>
      </w:r>
      <w:r w:rsidRPr="00C82DFE">
        <w:rPr>
          <w:color w:val="000000" w:themeColor="text1"/>
          <w:spacing w:val="2"/>
          <w:sz w:val="28"/>
          <w:szCs w:val="28"/>
          <w:lang w:val="uk-UA"/>
        </w:rPr>
        <w:t xml:space="preserve">- найбільш поширений вид </w:t>
      </w:r>
      <w:proofErr w:type="spellStart"/>
      <w:r w:rsidRPr="00C82DFE">
        <w:rPr>
          <w:color w:val="000000" w:themeColor="text1"/>
          <w:spacing w:val="2"/>
          <w:sz w:val="28"/>
          <w:szCs w:val="28"/>
          <w:lang w:val="uk-UA"/>
        </w:rPr>
        <w:t>гризинів</w:t>
      </w:r>
      <w:proofErr w:type="spellEnd"/>
      <w:r w:rsidRPr="00C82DFE">
        <w:rPr>
          <w:color w:val="000000" w:themeColor="text1"/>
          <w:spacing w:val="2"/>
          <w:sz w:val="28"/>
          <w:szCs w:val="28"/>
          <w:lang w:val="uk-UA"/>
        </w:rPr>
        <w:t xml:space="preserve">  в нашому регіоні.</w:t>
      </w:r>
      <w:r w:rsidR="00707DE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707DE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дна</w:t>
      </w:r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 </w:t>
      </w:r>
      <w:r w:rsidR="00707DE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самка в нашій зоні південного степу може привести </w:t>
      </w:r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 </w:t>
      </w:r>
      <w:r w:rsidR="00707DE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— до 10</w:t>
      </w:r>
      <w:r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07DE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виводків.</w:t>
      </w:r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CB203F" w:rsidRPr="00C82DFE">
        <w:rPr>
          <w:color w:val="000000" w:themeColor="text1"/>
          <w:sz w:val="28"/>
          <w:szCs w:val="28"/>
        </w:rPr>
        <w:fldChar w:fldCharType="begin"/>
      </w:r>
      <w:r w:rsidR="00707DE5" w:rsidRPr="00C82DFE">
        <w:rPr>
          <w:color w:val="000000" w:themeColor="text1"/>
          <w:sz w:val="28"/>
          <w:szCs w:val="28"/>
          <w:lang w:val="uk-UA"/>
        </w:rPr>
        <w:instrText xml:space="preserve"> </w:instrText>
      </w:r>
      <w:r w:rsidR="00707DE5" w:rsidRPr="00C82DFE">
        <w:rPr>
          <w:color w:val="000000" w:themeColor="text1"/>
          <w:sz w:val="28"/>
          <w:szCs w:val="28"/>
        </w:rPr>
        <w:instrText>HYPERLINK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 xml:space="preserve"> "</w:instrText>
      </w:r>
      <w:r w:rsidR="00707DE5" w:rsidRPr="00C82DFE">
        <w:rPr>
          <w:color w:val="000000" w:themeColor="text1"/>
          <w:sz w:val="28"/>
          <w:szCs w:val="28"/>
        </w:rPr>
        <w:instrText>https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://</w:instrText>
      </w:r>
      <w:r w:rsidR="00707DE5" w:rsidRPr="00C82DFE">
        <w:rPr>
          <w:color w:val="000000" w:themeColor="text1"/>
          <w:sz w:val="28"/>
          <w:szCs w:val="28"/>
        </w:rPr>
        <w:instrText>www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.</w:instrText>
      </w:r>
      <w:r w:rsidR="00707DE5" w:rsidRPr="00C82DFE">
        <w:rPr>
          <w:color w:val="000000" w:themeColor="text1"/>
          <w:sz w:val="28"/>
          <w:szCs w:val="28"/>
        </w:rPr>
        <w:instrText>wikidata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.</w:instrText>
      </w:r>
      <w:r w:rsidR="00707DE5" w:rsidRPr="00C82DFE">
        <w:rPr>
          <w:color w:val="000000" w:themeColor="text1"/>
          <w:sz w:val="28"/>
          <w:szCs w:val="28"/>
        </w:rPr>
        <w:instrText>uk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-</w:instrText>
      </w:r>
      <w:r w:rsidR="00707DE5" w:rsidRPr="00C82DFE">
        <w:rPr>
          <w:color w:val="000000" w:themeColor="text1"/>
          <w:sz w:val="28"/>
          <w:szCs w:val="28"/>
        </w:rPr>
        <w:instrText>ua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.</w:instrText>
      </w:r>
      <w:r w:rsidR="00707DE5" w:rsidRPr="00C82DFE">
        <w:rPr>
          <w:color w:val="000000" w:themeColor="text1"/>
          <w:sz w:val="28"/>
          <w:szCs w:val="28"/>
        </w:rPr>
        <w:instrText>nina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.</w:instrText>
      </w:r>
      <w:r w:rsidR="00707DE5" w:rsidRPr="00C82DFE">
        <w:rPr>
          <w:color w:val="000000" w:themeColor="text1"/>
          <w:sz w:val="28"/>
          <w:szCs w:val="28"/>
        </w:rPr>
        <w:instrText>az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/%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0%92%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0%</w:instrText>
      </w:r>
      <w:r w:rsidR="00707DE5" w:rsidRPr="00C82DFE">
        <w:rPr>
          <w:color w:val="000000" w:themeColor="text1"/>
          <w:sz w:val="28"/>
          <w:szCs w:val="28"/>
        </w:rPr>
        <w:instrText>B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0%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0%</w:instrText>
      </w:r>
      <w:r w:rsidR="00707DE5" w:rsidRPr="00C82DFE">
        <w:rPr>
          <w:color w:val="000000" w:themeColor="text1"/>
          <w:sz w:val="28"/>
          <w:szCs w:val="28"/>
        </w:rPr>
        <w:instrText>B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3%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1%96%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1%82%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0%</w:instrText>
      </w:r>
      <w:r w:rsidR="00707DE5" w:rsidRPr="00C82DFE">
        <w:rPr>
          <w:color w:val="000000" w:themeColor="text1"/>
          <w:sz w:val="28"/>
          <w:szCs w:val="28"/>
        </w:rPr>
        <w:instrText>BD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1%96%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1%81%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1%82%</w:instrText>
      </w:r>
      <w:r w:rsidR="00707DE5" w:rsidRPr="00C82DFE">
        <w:rPr>
          <w:color w:val="000000" w:themeColor="text1"/>
          <w:sz w:val="28"/>
          <w:szCs w:val="28"/>
        </w:rPr>
        <w:instrText>D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1%8</w:instrText>
      </w:r>
      <w:r w:rsidR="00707DE5" w:rsidRPr="00C82DFE">
        <w:rPr>
          <w:color w:val="000000" w:themeColor="text1"/>
          <w:sz w:val="28"/>
          <w:szCs w:val="28"/>
        </w:rPr>
        <w:instrText>C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.</w:instrText>
      </w:r>
      <w:r w:rsidR="00707DE5" w:rsidRPr="00C82DFE">
        <w:rPr>
          <w:color w:val="000000" w:themeColor="text1"/>
          <w:sz w:val="28"/>
          <w:szCs w:val="28"/>
        </w:rPr>
        <w:instrText>html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>" \</w:instrText>
      </w:r>
      <w:r w:rsidR="00707DE5" w:rsidRPr="00C82DFE">
        <w:rPr>
          <w:color w:val="000000" w:themeColor="text1"/>
          <w:sz w:val="28"/>
          <w:szCs w:val="28"/>
        </w:rPr>
        <w:instrText>o</w:instrText>
      </w:r>
      <w:r w:rsidR="00707DE5" w:rsidRPr="00C82DFE">
        <w:rPr>
          <w:color w:val="000000" w:themeColor="text1"/>
          <w:sz w:val="28"/>
          <w:szCs w:val="28"/>
          <w:lang w:val="uk-UA"/>
        </w:rPr>
        <w:instrText xml:space="preserve"> "Вагітність" </w:instrText>
      </w:r>
      <w:r w:rsidR="00CB203F" w:rsidRPr="00C82DFE">
        <w:rPr>
          <w:color w:val="000000" w:themeColor="text1"/>
          <w:sz w:val="28"/>
          <w:szCs w:val="28"/>
        </w:rPr>
        <w:fldChar w:fldCharType="separate"/>
      </w:r>
      <w:proofErr w:type="gramStart"/>
      <w:r w:rsidR="00707DE5" w:rsidRPr="00C82DFE">
        <w:rPr>
          <w:rStyle w:val="a6"/>
          <w:color w:val="000000" w:themeColor="text1"/>
          <w:sz w:val="28"/>
          <w:szCs w:val="28"/>
          <w:bdr w:val="single" w:sz="6" w:space="1" w:color="FCFCFC" w:frame="1"/>
          <w:shd w:val="clear" w:color="auto" w:fill="FFFFFF"/>
        </w:rPr>
        <w:t>Вагітність</w:t>
      </w:r>
      <w:proofErr w:type="spellEnd"/>
      <w:r w:rsidR="00CB203F" w:rsidRPr="00C82DFE">
        <w:rPr>
          <w:color w:val="000000" w:themeColor="text1"/>
          <w:sz w:val="28"/>
          <w:szCs w:val="28"/>
        </w:rPr>
        <w:fldChar w:fldCharType="end"/>
      </w:r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триває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16-24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дні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виводку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середньому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5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дитинчат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хоча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число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досягати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15;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Молоді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полівки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стають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самостійні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на 20 день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. </w:t>
      </w:r>
      <w:proofErr w:type="spellStart"/>
      <w:r w:rsidR="00CB203F" w:rsidRPr="00C82DFE">
        <w:rPr>
          <w:color w:val="000000" w:themeColor="text1"/>
          <w:sz w:val="28"/>
          <w:szCs w:val="28"/>
        </w:rPr>
        <w:fldChar w:fldCharType="begin"/>
      </w:r>
      <w:r w:rsidR="00707DE5" w:rsidRPr="00C82DFE">
        <w:rPr>
          <w:color w:val="000000" w:themeColor="text1"/>
          <w:sz w:val="28"/>
          <w:szCs w:val="28"/>
        </w:rPr>
        <w:instrText xml:space="preserve"> HYPERLINK "https://www.wikidata.uk-ua.nina.az/%D0%A1%D1%82%D0%B0%D1%82%D0%B5%D0%B2%D0%B0_%D0%B7%D1%80%D1%96%D0%BB%D1%96%D1%81%D1%82%D1%8C.html" \o "Статева зрілість" </w:instrText>
      </w:r>
      <w:r w:rsidR="00CB203F" w:rsidRPr="00C82DFE">
        <w:rPr>
          <w:color w:val="000000" w:themeColor="text1"/>
          <w:sz w:val="28"/>
          <w:szCs w:val="28"/>
        </w:rPr>
        <w:fldChar w:fldCharType="separate"/>
      </w:r>
      <w:r w:rsidR="00707DE5" w:rsidRPr="00C82DFE">
        <w:rPr>
          <w:rStyle w:val="a6"/>
          <w:color w:val="000000" w:themeColor="text1"/>
          <w:sz w:val="28"/>
          <w:szCs w:val="28"/>
          <w:bdr w:val="single" w:sz="6" w:space="1" w:color="FCFCFC" w:frame="1"/>
          <w:shd w:val="clear" w:color="auto" w:fill="FFFFFF"/>
        </w:rPr>
        <w:t>статева</w:t>
      </w:r>
      <w:proofErr w:type="spellEnd"/>
      <w:r w:rsidR="00707DE5" w:rsidRPr="00C82DFE">
        <w:rPr>
          <w:rStyle w:val="a6"/>
          <w:color w:val="000000" w:themeColor="text1"/>
          <w:sz w:val="28"/>
          <w:szCs w:val="28"/>
          <w:bdr w:val="single" w:sz="6" w:space="1" w:color="FCFCFC" w:frame="1"/>
          <w:shd w:val="clear" w:color="auto" w:fill="FFFFFF"/>
        </w:rPr>
        <w:t xml:space="preserve"> </w:t>
      </w:r>
      <w:proofErr w:type="spellStart"/>
      <w:r w:rsidR="00707DE5" w:rsidRPr="00C82DFE">
        <w:rPr>
          <w:rStyle w:val="a6"/>
          <w:color w:val="000000" w:themeColor="text1"/>
          <w:sz w:val="28"/>
          <w:szCs w:val="28"/>
          <w:bdr w:val="single" w:sz="6" w:space="1" w:color="FCFCFC" w:frame="1"/>
          <w:shd w:val="clear" w:color="auto" w:fill="FFFFFF"/>
        </w:rPr>
        <w:t>зрілість</w:t>
      </w:r>
      <w:proofErr w:type="spellEnd"/>
      <w:r w:rsidR="00CB203F" w:rsidRPr="00C82DFE">
        <w:rPr>
          <w:color w:val="000000" w:themeColor="text1"/>
          <w:sz w:val="28"/>
          <w:szCs w:val="28"/>
        </w:rPr>
        <w:fldChar w:fldCharType="end"/>
      </w:r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настає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на 2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місяці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Іноді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молоді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самки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вагітніють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вже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на 13 день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приносять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перший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виводок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 xml:space="preserve"> в 33 </w:t>
      </w:r>
      <w:proofErr w:type="spellStart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дні</w:t>
      </w:r>
      <w:proofErr w:type="spellEnd"/>
      <w:r w:rsidR="00707DE5" w:rsidRPr="00C82DF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54D79" w:rsidRPr="00C82DFE" w:rsidRDefault="00454D79" w:rsidP="003D769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82DFE">
        <w:rPr>
          <w:rStyle w:val="a8"/>
          <w:color w:val="000000" w:themeColor="text1"/>
          <w:sz w:val="28"/>
          <w:szCs w:val="28"/>
          <w:shd w:val="clear" w:color="auto" w:fill="FFFFFF"/>
        </w:rPr>
        <w:t xml:space="preserve">Миша </w:t>
      </w:r>
      <w:proofErr w:type="spellStart"/>
      <w:r w:rsidRPr="00C82DFE">
        <w:rPr>
          <w:rStyle w:val="a8"/>
          <w:color w:val="000000" w:themeColor="text1"/>
          <w:sz w:val="28"/>
          <w:szCs w:val="28"/>
          <w:shd w:val="clear" w:color="auto" w:fill="FFFFFF"/>
        </w:rPr>
        <w:t>курганчикова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, є </w:t>
      </w:r>
      <w:proofErr w:type="spellStart"/>
      <w:proofErr w:type="gramStart"/>
      <w:r w:rsidRPr="00C82DFE">
        <w:rPr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82DFE">
        <w:rPr>
          <w:color w:val="000000" w:themeColor="text1"/>
          <w:sz w:val="28"/>
          <w:szCs w:val="28"/>
          <w:shd w:val="clear" w:color="auto" w:fill="FFFFFF"/>
        </w:rPr>
        <w:t>ізновидом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хатньої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миші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тільки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менша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розміром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C82DFE">
        <w:rPr>
          <w:color w:val="000000" w:themeColor="text1"/>
          <w:sz w:val="28"/>
          <w:szCs w:val="28"/>
          <w:shd w:val="clear" w:color="auto" w:fill="FFFFFF"/>
        </w:rPr>
        <w:t>Характерною</w:t>
      </w:r>
      <w:proofErr w:type="gram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особливістю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курганчикової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миші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осіннє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збирання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великих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запасів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корму на зиму (5–10 кг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колосків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зернових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культур,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насіння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злакових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видів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бур’янів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) та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споруджування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над ними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земляних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курганів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близько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1 м у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діаметрі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і 0,5 м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заввишки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курганчики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споруджує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одна пара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мишей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, яка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згодом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обживає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цілою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родиною.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Курганчики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миші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будують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, коли для них на полях є </w:t>
      </w:r>
      <w:proofErr w:type="spellStart"/>
      <w:r w:rsidRPr="00C82DFE">
        <w:rPr>
          <w:color w:val="000000" w:themeColor="text1"/>
          <w:sz w:val="28"/>
          <w:szCs w:val="28"/>
          <w:shd w:val="clear" w:color="auto" w:fill="FFFFFF"/>
        </w:rPr>
        <w:t>досить</w:t>
      </w:r>
      <w:proofErr w:type="spellEnd"/>
      <w:r w:rsidRPr="00C82DFE">
        <w:rPr>
          <w:color w:val="000000" w:themeColor="text1"/>
          <w:sz w:val="28"/>
          <w:szCs w:val="28"/>
          <w:shd w:val="clear" w:color="auto" w:fill="FFFFFF"/>
        </w:rPr>
        <w:t xml:space="preserve"> поживи</w:t>
      </w:r>
      <w:r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в основному це поля </w:t>
      </w:r>
      <w:proofErr w:type="gramStart"/>
      <w:r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proofErr w:type="gramEnd"/>
      <w:r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ісля соняшнику та кукурудзи, а також забур’янені площі.</w:t>
      </w:r>
    </w:p>
    <w:p w:rsidR="003D7695" w:rsidRPr="00C82DFE" w:rsidRDefault="003D7695" w:rsidP="003D7695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82DFE">
        <w:rPr>
          <w:color w:val="000000" w:themeColor="text1"/>
          <w:spacing w:val="2"/>
          <w:sz w:val="28"/>
          <w:szCs w:val="28"/>
          <w:lang w:val="uk-UA"/>
        </w:rPr>
        <w:t xml:space="preserve">Наразі, в господарствах </w:t>
      </w:r>
      <w:r w:rsidR="00454D79" w:rsidRPr="00C82DFE">
        <w:rPr>
          <w:color w:val="000000" w:themeColor="text1"/>
          <w:spacing w:val="2"/>
          <w:sz w:val="28"/>
          <w:szCs w:val="28"/>
          <w:lang w:val="uk-UA"/>
        </w:rPr>
        <w:t>проводяться заходи, щодо обмеження чисельності шкідників.</w:t>
      </w:r>
      <w:r w:rsidR="001F09D5" w:rsidRPr="00C82DFE">
        <w:rPr>
          <w:color w:val="000000" w:themeColor="text1"/>
          <w:spacing w:val="2"/>
          <w:sz w:val="28"/>
          <w:szCs w:val="28"/>
          <w:lang w:val="uk-UA"/>
        </w:rPr>
        <w:t xml:space="preserve"> </w:t>
      </w:r>
      <w:r w:rsidR="00454D79" w:rsidRPr="00C82DFE">
        <w:rPr>
          <w:color w:val="000000" w:themeColor="text1"/>
          <w:spacing w:val="2"/>
          <w:sz w:val="28"/>
          <w:szCs w:val="28"/>
          <w:lang w:val="uk-UA"/>
        </w:rPr>
        <w:t xml:space="preserve">Зважаючи на минулорічну ситуацію, коли </w:t>
      </w:r>
      <w:r w:rsidR="001F09D5" w:rsidRPr="00C82DFE">
        <w:rPr>
          <w:color w:val="000000" w:themeColor="text1"/>
          <w:spacing w:val="2"/>
          <w:sz w:val="28"/>
          <w:szCs w:val="28"/>
          <w:lang w:val="uk-UA"/>
        </w:rPr>
        <w:t xml:space="preserve">в період  </w:t>
      </w:r>
      <w:r w:rsidR="00454D79" w:rsidRPr="00C82DFE">
        <w:rPr>
          <w:color w:val="000000" w:themeColor="text1"/>
          <w:spacing w:val="2"/>
          <w:sz w:val="28"/>
          <w:szCs w:val="28"/>
          <w:lang w:val="uk-UA"/>
        </w:rPr>
        <w:t xml:space="preserve"> проведення захисних заходів від мишоподібних гризунів були випадки отруєння</w:t>
      </w:r>
      <w:r w:rsidR="001F09D5" w:rsidRPr="00C82DFE">
        <w:rPr>
          <w:color w:val="000000" w:themeColor="text1"/>
          <w:spacing w:val="2"/>
          <w:sz w:val="28"/>
          <w:szCs w:val="28"/>
          <w:lang w:val="uk-UA"/>
        </w:rPr>
        <w:t xml:space="preserve"> зайців, птахів, наголошую </w:t>
      </w:r>
      <w:r w:rsidR="001F09D5" w:rsidRPr="00C82DFE">
        <w:rPr>
          <w:b/>
          <w:color w:val="000000" w:themeColor="text1"/>
          <w:spacing w:val="2"/>
          <w:sz w:val="28"/>
          <w:szCs w:val="28"/>
          <w:lang w:val="uk-UA"/>
        </w:rPr>
        <w:t>на необхідності дотримання правил техніки безпеки під час розкладання отруєних принад</w:t>
      </w:r>
      <w:r w:rsidR="001F09D5" w:rsidRPr="00C82DFE">
        <w:rPr>
          <w:color w:val="000000" w:themeColor="text1"/>
          <w:spacing w:val="2"/>
          <w:sz w:val="28"/>
          <w:szCs w:val="28"/>
          <w:lang w:val="uk-UA"/>
        </w:rPr>
        <w:t>. Зернові приманки  на основі хімічних речовин (</w:t>
      </w:r>
      <w:proofErr w:type="spellStart"/>
      <w:r w:rsidR="002C25DA" w:rsidRPr="00C82DFE">
        <w:rPr>
          <w:b/>
          <w:color w:val="000000" w:themeColor="text1"/>
          <w:spacing w:val="2"/>
          <w:sz w:val="28"/>
          <w:szCs w:val="28"/>
          <w:lang w:val="uk-UA"/>
        </w:rPr>
        <w:t>б</w:t>
      </w:r>
      <w:r w:rsidR="001F09D5" w:rsidRPr="00C82DFE">
        <w:rPr>
          <w:b/>
          <w:color w:val="000000" w:themeColor="text1"/>
          <w:spacing w:val="2"/>
          <w:sz w:val="28"/>
          <w:szCs w:val="28"/>
          <w:lang w:val="uk-UA"/>
        </w:rPr>
        <w:t>родіфакуму,бромадіалону</w:t>
      </w:r>
      <w:proofErr w:type="spellEnd"/>
      <w:r w:rsidR="001F09D5" w:rsidRPr="00C82DFE">
        <w:rPr>
          <w:b/>
          <w:color w:val="000000" w:themeColor="text1"/>
          <w:spacing w:val="2"/>
          <w:sz w:val="28"/>
          <w:szCs w:val="28"/>
          <w:lang w:val="uk-UA"/>
        </w:rPr>
        <w:t xml:space="preserve"> та </w:t>
      </w:r>
      <w:proofErr w:type="spellStart"/>
      <w:r w:rsidR="001F09D5" w:rsidRPr="00C82DFE">
        <w:rPr>
          <w:b/>
          <w:color w:val="000000" w:themeColor="text1"/>
          <w:spacing w:val="2"/>
          <w:sz w:val="28"/>
          <w:szCs w:val="28"/>
          <w:lang w:val="uk-UA"/>
        </w:rPr>
        <w:t>флокумарину</w:t>
      </w:r>
      <w:proofErr w:type="spellEnd"/>
      <w:r w:rsidR="001F09D5" w:rsidRPr="00C82DFE">
        <w:rPr>
          <w:color w:val="000000" w:themeColor="text1"/>
          <w:spacing w:val="2"/>
          <w:sz w:val="28"/>
          <w:szCs w:val="28"/>
          <w:lang w:val="uk-UA"/>
        </w:rPr>
        <w:t>) повинні розкладатись обов’язково вручну, мірними ложечками по 3-4 грами на нірку з обов’язковим прикриттям нірки(засипанням землею) .</w:t>
      </w:r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Усі ці діючі речовини є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антикоогулянтами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тобто вони блокують згортання крові, в результаті чого гризуни гинуть від внутрішньої кровотечі.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Особливістю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цих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препаратів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proofErr w:type="gram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ідкладена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дія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тобто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шкідники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не гинуть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одразу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після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того, як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з’їли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приманку</w:t>
      </w:r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с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мерть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наступає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через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кілька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днів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Такий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ефект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створений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для того,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аби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інші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гризуни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відмовлялись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їсти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отруйну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принаду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побачивши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смерть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іншої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миші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, яка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поласувала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отруєн</w:t>
      </w:r>
      <w:proofErr w:type="spellEnd"/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11748C" w:rsidRPr="00C82DFE">
        <w:rPr>
          <w:color w:val="000000" w:themeColor="text1"/>
          <w:sz w:val="28"/>
          <w:szCs w:val="28"/>
          <w:shd w:val="clear" w:color="auto" w:fill="FFFFFF"/>
        </w:rPr>
        <w:t>им зерном.</w:t>
      </w:r>
      <w:r w:rsidR="0011748C" w:rsidRPr="00C82DFE">
        <w:rPr>
          <w:color w:val="000000" w:themeColor="text1"/>
          <w:sz w:val="28"/>
          <w:szCs w:val="28"/>
        </w:rPr>
        <w:t xml:space="preserve"> При </w:t>
      </w:r>
      <w:proofErr w:type="spellStart"/>
      <w:r w:rsidR="0011748C" w:rsidRPr="00C82DFE">
        <w:rPr>
          <w:color w:val="000000" w:themeColor="text1"/>
          <w:sz w:val="28"/>
          <w:szCs w:val="28"/>
        </w:rPr>
        <w:t>виявленні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3-5 </w:t>
      </w:r>
      <w:proofErr w:type="spellStart"/>
      <w:r w:rsidR="0011748C" w:rsidRPr="00C82DFE">
        <w:rPr>
          <w:color w:val="000000" w:themeColor="text1"/>
          <w:sz w:val="28"/>
          <w:szCs w:val="28"/>
        </w:rPr>
        <w:t>жилих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колоній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lastRenderedPageBreak/>
        <w:t>мишоподібних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гризуні</w:t>
      </w:r>
      <w:proofErr w:type="gramStart"/>
      <w:r w:rsidR="0011748C" w:rsidRPr="00C82DFE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gramStart"/>
      <w:r w:rsidR="0011748C" w:rsidRPr="00C82DFE">
        <w:rPr>
          <w:color w:val="000000" w:themeColor="text1"/>
          <w:sz w:val="28"/>
          <w:szCs w:val="28"/>
        </w:rPr>
        <w:t>на</w:t>
      </w:r>
      <w:proofErr w:type="gramEnd"/>
      <w:r w:rsidR="0011748C" w:rsidRPr="00C82DFE">
        <w:rPr>
          <w:color w:val="000000" w:themeColor="text1"/>
          <w:sz w:val="28"/>
          <w:szCs w:val="28"/>
        </w:rPr>
        <w:t xml:space="preserve"> гектар, </w:t>
      </w:r>
      <w:proofErr w:type="spellStart"/>
      <w:r w:rsidR="0011748C" w:rsidRPr="00C82DFE">
        <w:rPr>
          <w:color w:val="000000" w:themeColor="text1"/>
          <w:sz w:val="28"/>
          <w:szCs w:val="28"/>
        </w:rPr>
        <w:t>необхідно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проводити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захисні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заходи</w:t>
      </w:r>
      <w:r w:rsidR="0011748C" w:rsidRPr="00C82DFE">
        <w:rPr>
          <w:color w:val="000000" w:themeColor="text1"/>
          <w:sz w:val="28"/>
          <w:szCs w:val="28"/>
          <w:lang w:val="uk-UA"/>
        </w:rPr>
        <w:t>.</w:t>
      </w:r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Миші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продовжують</w:t>
      </w:r>
      <w:proofErr w:type="spellEnd"/>
      <w:r w:rsidR="0011748C" w:rsidRPr="00C82DFE">
        <w:rPr>
          <w:color w:val="000000" w:themeColor="text1"/>
          <w:sz w:val="28"/>
          <w:szCs w:val="28"/>
          <w:lang w:val="uk-UA"/>
        </w:rPr>
        <w:t xml:space="preserve"> масово</w:t>
      </w:r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розмножуватися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, </w:t>
      </w:r>
      <w:proofErr w:type="spellStart"/>
      <w:r w:rsidR="0011748C" w:rsidRPr="00C82DFE">
        <w:rPr>
          <w:color w:val="000000" w:themeColor="text1"/>
          <w:sz w:val="28"/>
          <w:szCs w:val="28"/>
        </w:rPr>
        <w:t>поки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середньодобові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температури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повітря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не </w:t>
      </w:r>
      <w:proofErr w:type="spellStart"/>
      <w:r w:rsidR="0011748C" w:rsidRPr="00C82DFE">
        <w:rPr>
          <w:color w:val="000000" w:themeColor="text1"/>
          <w:sz w:val="28"/>
          <w:szCs w:val="28"/>
        </w:rPr>
        <w:t>знижуються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</w:t>
      </w:r>
      <w:proofErr w:type="spellStart"/>
      <w:r w:rsidR="0011748C" w:rsidRPr="00C82DFE">
        <w:rPr>
          <w:color w:val="000000" w:themeColor="text1"/>
          <w:sz w:val="28"/>
          <w:szCs w:val="28"/>
        </w:rPr>
        <w:t>нижче</w:t>
      </w:r>
      <w:proofErr w:type="spellEnd"/>
      <w:r w:rsidR="0011748C" w:rsidRPr="00C82DFE">
        <w:rPr>
          <w:color w:val="000000" w:themeColor="text1"/>
          <w:sz w:val="28"/>
          <w:szCs w:val="28"/>
        </w:rPr>
        <w:t xml:space="preserve"> +5С</w:t>
      </w:r>
      <w:proofErr w:type="gramStart"/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.</w:t>
      </w:r>
      <w:proofErr w:type="gramEnd"/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1F09D5" w:rsidRPr="00C82DFE">
        <w:rPr>
          <w:color w:val="000000" w:themeColor="text1"/>
          <w:spacing w:val="2"/>
          <w:sz w:val="28"/>
          <w:szCs w:val="28"/>
          <w:lang w:val="uk-UA"/>
        </w:rPr>
        <w:t xml:space="preserve"> При механізованому внесенні принад необхідно застосовувати  </w:t>
      </w:r>
      <w:r w:rsidR="001F09D5" w:rsidRPr="00C82DFE">
        <w:rPr>
          <w:b/>
          <w:color w:val="000000" w:themeColor="text1"/>
          <w:spacing w:val="2"/>
          <w:sz w:val="28"/>
          <w:szCs w:val="28"/>
          <w:lang w:val="uk-UA"/>
        </w:rPr>
        <w:t>біологічний метод</w:t>
      </w:r>
      <w:r w:rsidR="001F09D5" w:rsidRPr="00C82DFE">
        <w:rPr>
          <w:color w:val="000000" w:themeColor="text1"/>
          <w:spacing w:val="2"/>
          <w:sz w:val="28"/>
          <w:szCs w:val="28"/>
          <w:lang w:val="uk-UA"/>
        </w:rPr>
        <w:t>.</w:t>
      </w:r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якості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біологічного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методу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застосовують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препарати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09D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містять бактерії</w:t>
      </w:r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мишин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ного </w:t>
      </w:r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тиф</w:t>
      </w:r>
      <w:r w:rsidR="001F09D5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. Вони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безпечні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живих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організмів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адже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відміну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хімічних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препаратів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впливають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на</w:t>
      </w:r>
      <w:proofErr w:type="gram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>мишей</w:t>
      </w:r>
      <w:proofErr w:type="spellEnd"/>
      <w:r w:rsidR="001F09D5" w:rsidRPr="00C82DF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1748C" w:rsidRPr="00C82DFE">
        <w:rPr>
          <w:color w:val="000000" w:themeColor="text1"/>
          <w:sz w:val="28"/>
          <w:szCs w:val="28"/>
          <w:shd w:val="clear" w:color="auto" w:fill="FFFFFF"/>
          <w:lang w:val="uk-UA"/>
        </w:rPr>
        <w:t>і не чинять шкідливої дії на тварин та птахів.</w:t>
      </w:r>
    </w:p>
    <w:p w:rsidR="009262F1" w:rsidRPr="00C82DFE" w:rsidRDefault="009262F1" w:rsidP="00166B49">
      <w:pPr>
        <w:pStyle w:val="a3"/>
        <w:shd w:val="clear" w:color="auto" w:fill="FFFFFF"/>
        <w:tabs>
          <w:tab w:val="left" w:pos="6300"/>
        </w:tabs>
        <w:spacing w:before="0" w:beforeAutospacing="0" w:after="240" w:afterAutospacing="0"/>
        <w:rPr>
          <w:color w:val="000000" w:themeColor="text1"/>
          <w:spacing w:val="2"/>
          <w:sz w:val="28"/>
          <w:szCs w:val="28"/>
          <w:lang w:val="uk-UA"/>
        </w:rPr>
      </w:pPr>
      <w:r w:rsidRPr="00C82DFE">
        <w:rPr>
          <w:b/>
          <w:color w:val="000000" w:themeColor="text1"/>
          <w:sz w:val="36"/>
          <w:szCs w:val="36"/>
          <w:lang w:val="uk-UA"/>
        </w:rPr>
        <w:t>Полівка звичайна</w:t>
      </w:r>
      <w:r w:rsidR="00166B49" w:rsidRPr="00C82DFE">
        <w:rPr>
          <w:b/>
          <w:color w:val="000000" w:themeColor="text1"/>
          <w:sz w:val="36"/>
          <w:szCs w:val="36"/>
          <w:lang w:val="uk-UA"/>
        </w:rPr>
        <w:tab/>
      </w:r>
    </w:p>
    <w:p w:rsidR="003D7695" w:rsidRPr="00C82DFE" w:rsidRDefault="009262F1" w:rsidP="003D7695">
      <w:pP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C82DFE">
        <w:rPr>
          <w:noProof/>
          <w:color w:val="000000" w:themeColor="text1"/>
        </w:rPr>
        <w:drawing>
          <wp:inline distT="0" distB="0" distL="0" distR="0" wp14:anchorId="51E48D6E" wp14:editId="4812A222">
            <wp:extent cx="2728800" cy="2728800"/>
            <wp:effectExtent l="19050" t="0" r="0" b="0"/>
            <wp:docPr id="1" name="Рисунок 13" descr="Полёвковые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ёвковые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27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695" w:rsidRPr="00C82DFE"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  <w:t xml:space="preserve">    </w:t>
      </w:r>
      <w:r w:rsidR="00166B49" w:rsidRPr="00C82DFE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Курганчикова миша</w:t>
      </w:r>
      <w:r w:rsidR="00166B49" w:rsidRPr="00C82DFE">
        <w:rPr>
          <w:noProof/>
          <w:color w:val="000000" w:themeColor="text1"/>
          <w:lang w:val="uk-UA" w:eastAsia="uk-UA"/>
        </w:rPr>
        <w:t xml:space="preserve"> </w:t>
      </w:r>
      <w:r w:rsidRPr="00C82DFE">
        <w:rPr>
          <w:noProof/>
          <w:color w:val="000000" w:themeColor="text1"/>
        </w:rPr>
        <w:drawing>
          <wp:inline distT="0" distB="0" distL="0" distR="0" wp14:anchorId="0DE2BEC8" wp14:editId="4EBDBC9F">
            <wp:extent cx="2700679" cy="2160000"/>
            <wp:effectExtent l="19050" t="0" r="4421" b="0"/>
            <wp:docPr id="2" name="Рисунок 2" descr="Курганчикова ми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ганчикова миш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7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FE">
        <w:rPr>
          <w:color w:val="000000" w:themeColor="text1"/>
        </w:rPr>
        <w:t xml:space="preserve"> </w:t>
      </w:r>
      <w:r w:rsidRPr="00C82DFE">
        <w:rPr>
          <w:noProof/>
          <w:color w:val="000000" w:themeColor="text1"/>
        </w:rPr>
        <w:drawing>
          <wp:inline distT="0" distB="0" distL="0" distR="0" wp14:anchorId="5FFA01EB" wp14:editId="15286C44">
            <wp:extent cx="3031579" cy="2160000"/>
            <wp:effectExtent l="19050" t="0" r="0" b="0"/>
            <wp:docPr id="3" name="Рисунок 8" descr="«Курганчик» миш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«Курганчик» миш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7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DFE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 </w:t>
      </w:r>
    </w:p>
    <w:p w:rsidR="0011748C" w:rsidRPr="00C82DFE" w:rsidRDefault="003D7695" w:rsidP="009262F1">
      <w:pPr>
        <w:tabs>
          <w:tab w:val="center" w:pos="76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82DFE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ab/>
      </w:r>
    </w:p>
    <w:p w:rsidR="003D7695" w:rsidRPr="00C82DFE" w:rsidRDefault="0011748C" w:rsidP="003D7695">
      <w:pPr>
        <w:tabs>
          <w:tab w:val="left" w:pos="120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C82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Всі о</w:t>
      </w:r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труєні принади необхідно  розкладати  дотримуючись  правил техніки безпеки. 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Обов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язково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вдягати захисні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прорезинові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перчатки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та респіратори. </w:t>
      </w:r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Так як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препарати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хі</w:t>
      </w:r>
      <w:proofErr w:type="gram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ічне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походження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то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працювати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з ними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необхідно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суворо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дотримуючись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інструкції</w:t>
      </w:r>
      <w:proofErr w:type="spellEnd"/>
      <w:r w:rsidR="003D7695" w:rsidRPr="00C82D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3D7695" w:rsidRPr="00C82DFE" w:rsidRDefault="003D7695" w:rsidP="003D7695">
      <w:pPr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63AFC" w:rsidRPr="00C82DFE" w:rsidRDefault="003D7695" w:rsidP="00B10613">
      <w:pPr>
        <w:tabs>
          <w:tab w:val="left" w:pos="1200"/>
        </w:tabs>
        <w:rPr>
          <w:color w:val="000000" w:themeColor="text1"/>
        </w:rPr>
      </w:pPr>
      <w:r w:rsidRPr="00C82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Державний фіто санітарний інспектор                         </w:t>
      </w:r>
      <w:r w:rsidR="004D57DA" w:rsidRPr="00C82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М.О. Жуков</w:t>
      </w:r>
      <w:r w:rsidRPr="00C82DFE">
        <w:rPr>
          <w:rFonts w:ascii="Arial" w:hAnsi="Arial" w:cs="Arial"/>
          <w:color w:val="000000" w:themeColor="text1"/>
          <w:sz w:val="21"/>
          <w:szCs w:val="21"/>
        </w:rPr>
        <w:br/>
      </w:r>
    </w:p>
    <w:sectPr w:rsidR="00763AFC" w:rsidRPr="00C82DFE" w:rsidSect="00763A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695"/>
    <w:rsid w:val="0011748C"/>
    <w:rsid w:val="00166B49"/>
    <w:rsid w:val="001D35FB"/>
    <w:rsid w:val="001F09D5"/>
    <w:rsid w:val="002C25DA"/>
    <w:rsid w:val="003D7695"/>
    <w:rsid w:val="00454D79"/>
    <w:rsid w:val="004D57DA"/>
    <w:rsid w:val="00551CF9"/>
    <w:rsid w:val="006365FF"/>
    <w:rsid w:val="00672B62"/>
    <w:rsid w:val="00707DE5"/>
    <w:rsid w:val="00763AFC"/>
    <w:rsid w:val="00883730"/>
    <w:rsid w:val="009262F1"/>
    <w:rsid w:val="00B10613"/>
    <w:rsid w:val="00BD43A6"/>
    <w:rsid w:val="00C82DFE"/>
    <w:rsid w:val="00C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69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707DE5"/>
    <w:rPr>
      <w:color w:val="0000FF"/>
      <w:u w:val="single"/>
    </w:rPr>
  </w:style>
  <w:style w:type="paragraph" w:styleId="a7">
    <w:name w:val="caption"/>
    <w:basedOn w:val="a"/>
    <w:next w:val="a"/>
    <w:uiPriority w:val="35"/>
    <w:semiHidden/>
    <w:unhideWhenUsed/>
    <w:qFormat/>
    <w:rsid w:val="00707DE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0"/>
    <w:uiPriority w:val="22"/>
    <w:qFormat/>
    <w:rsid w:val="00454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13</cp:revision>
  <dcterms:created xsi:type="dcterms:W3CDTF">2023-11-06T09:50:00Z</dcterms:created>
  <dcterms:modified xsi:type="dcterms:W3CDTF">2023-11-29T07:48:00Z</dcterms:modified>
</cp:coreProperties>
</file>